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D5" w:rsidRPr="00ED6B10" w:rsidRDefault="00243AD5" w:rsidP="00243AD5">
      <w:pPr>
        <w:rPr>
          <w:rFonts w:ascii="Times New Roman" w:hAnsi="Times New Roman" w:cs="Times New Roman"/>
          <w:b/>
          <w:sz w:val="24"/>
          <w:szCs w:val="24"/>
        </w:rPr>
      </w:pPr>
      <w:permStart w:id="0" w:edGrp="everyone"/>
      <w:permEnd w:id="0"/>
      <w:r w:rsidRPr="00ED6B10">
        <w:rPr>
          <w:rFonts w:ascii="Times New Roman" w:hAnsi="Times New Roman" w:cs="Times New Roman"/>
          <w:sz w:val="24"/>
          <w:szCs w:val="24"/>
        </w:rPr>
        <w:t xml:space="preserve">As 2011 winds down, there is still time to reduce your 2011 </w:t>
      </w:r>
      <w:bookmarkStart w:id="0" w:name="ctx10"/>
      <w:bookmarkEnd w:id="0"/>
      <w:r w:rsidRPr="00ED6B10">
        <w:rPr>
          <w:rFonts w:ascii="Times New Roman" w:hAnsi="Times New Roman" w:cs="Times New Roman"/>
          <w:noProof/>
          <w:color w:val="0000FF"/>
          <w:sz w:val="24"/>
          <w:szCs w:val="24"/>
        </w:rPr>
        <w:drawing>
          <wp:inline distT="0" distB="0" distL="0" distR="0">
            <wp:extent cx="9525" cy="9525"/>
            <wp:effectExtent l="0" t="0" r="0" b="0"/>
            <wp:docPr id="648" name="Picture 1" descr="previous h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49" name="Picture 2"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bill and plan ahead for 2012. This letter highlights several potential </w:t>
      </w:r>
      <w:bookmarkStart w:id="1" w:name="ctx11"/>
      <w:bookmarkEnd w:id="1"/>
      <w:r w:rsidRPr="00ED6B10">
        <w:rPr>
          <w:rFonts w:ascii="Times New Roman" w:hAnsi="Times New Roman" w:cs="Times New Roman"/>
          <w:noProof/>
          <w:color w:val="0000FF"/>
          <w:sz w:val="24"/>
          <w:szCs w:val="24"/>
        </w:rPr>
        <w:drawing>
          <wp:inline distT="0" distB="0" distL="0" distR="0">
            <wp:extent cx="9525" cy="9525"/>
            <wp:effectExtent l="0" t="0" r="0" b="0"/>
            <wp:docPr id="650" name="Picture 3"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51" name="Picture 4"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-saving opportunities for you to consider.</w:t>
      </w:r>
      <w:r w:rsidR="00883E3D" w:rsidRPr="00ED6B10">
        <w:rPr>
          <w:rFonts w:ascii="Times New Roman" w:hAnsi="Times New Roman" w:cs="Times New Roman"/>
          <w:sz w:val="24"/>
          <w:szCs w:val="24"/>
        </w:rPr>
        <w:t xml:space="preserve"> Due to complexity and volume of changes to the tax code that have taken effect over this past year, our annual tax planning letter has become quite lengthy. In order to make the document more </w:t>
      </w:r>
      <w:proofErr w:type="gramStart"/>
      <w:r w:rsidR="00883E3D" w:rsidRPr="00ED6B10">
        <w:rPr>
          <w:rFonts w:ascii="Times New Roman" w:hAnsi="Times New Roman" w:cs="Times New Roman"/>
          <w:sz w:val="24"/>
          <w:szCs w:val="24"/>
        </w:rPr>
        <w:t>user</w:t>
      </w:r>
      <w:proofErr w:type="gramEnd"/>
      <w:r w:rsidR="00883E3D" w:rsidRPr="00ED6B10">
        <w:rPr>
          <w:rFonts w:ascii="Times New Roman" w:hAnsi="Times New Roman" w:cs="Times New Roman"/>
          <w:sz w:val="24"/>
          <w:szCs w:val="24"/>
        </w:rPr>
        <w:t xml:space="preserve"> friendly I have inserted the hyperlinks below to better direct you to areas of interest. </w:t>
      </w:r>
      <w:r w:rsidRPr="00ED6B10">
        <w:rPr>
          <w:rFonts w:ascii="Times New Roman" w:hAnsi="Times New Roman" w:cs="Times New Roman"/>
          <w:sz w:val="24"/>
          <w:szCs w:val="24"/>
        </w:rPr>
        <w:t>I would be happy to meet with you to discuss specific strategies.</w:t>
      </w:r>
      <w:r w:rsidR="00CF1F0B" w:rsidRPr="00ED6B10">
        <w:rPr>
          <w:rFonts w:ascii="Times New Roman" w:hAnsi="Times New Roman" w:cs="Times New Roman"/>
          <w:sz w:val="24"/>
          <w:szCs w:val="24"/>
        </w:rPr>
        <w:t xml:space="preserve"> </w:t>
      </w:r>
    </w:p>
    <w:p w:rsidR="00243AD5" w:rsidRPr="00ED6B10" w:rsidRDefault="0085109E" w:rsidP="00243AD5">
      <w:pPr>
        <w:rPr>
          <w:rFonts w:ascii="Times New Roman" w:hAnsi="Times New Roman" w:cs="Times New Roman"/>
          <w:sz w:val="24"/>
          <w:szCs w:val="24"/>
        </w:rPr>
      </w:pPr>
      <w:hyperlink w:anchor="ctx20" w:history="1">
        <w:r w:rsidR="00243AD5" w:rsidRPr="00ED6B10">
          <w:rPr>
            <w:rStyle w:val="Hyperlink"/>
            <w:rFonts w:ascii="Times New Roman" w:hAnsi="Times New Roman" w:cs="Times New Roman"/>
            <w:sz w:val="24"/>
            <w:szCs w:val="24"/>
          </w:rPr>
          <w:t>Basic numbers you need to know:</w:t>
        </w:r>
      </w:hyperlink>
    </w:p>
    <w:p w:rsidR="00243AD5" w:rsidRPr="00ED6B10" w:rsidRDefault="0085109E" w:rsidP="00243AD5">
      <w:pPr>
        <w:rPr>
          <w:rFonts w:ascii="Times New Roman" w:hAnsi="Times New Roman" w:cs="Times New Roman"/>
          <w:b/>
          <w:sz w:val="24"/>
          <w:szCs w:val="24"/>
          <w:u w:val="single"/>
        </w:rPr>
      </w:pPr>
      <w:hyperlink w:anchor="ctx25" w:history="1">
        <w:r w:rsidR="00243AD5" w:rsidRPr="00ED6B10">
          <w:rPr>
            <w:rStyle w:val="Hyperlink"/>
            <w:rFonts w:ascii="Times New Roman" w:hAnsi="Times New Roman" w:cs="Times New Roman"/>
            <w:b/>
            <w:sz w:val="24"/>
            <w:szCs w:val="24"/>
          </w:rPr>
          <w:t>IRA, Retirement Savings Rules for 2011</w:t>
        </w:r>
      </w:hyperlink>
    </w:p>
    <w:p w:rsidR="00243AD5" w:rsidRPr="00ED6B10" w:rsidRDefault="0085109E" w:rsidP="00243AD5">
      <w:pPr>
        <w:rPr>
          <w:rFonts w:ascii="Times New Roman" w:hAnsi="Times New Roman" w:cs="Times New Roman"/>
          <w:b/>
          <w:sz w:val="24"/>
          <w:szCs w:val="24"/>
          <w:u w:val="single"/>
        </w:rPr>
      </w:pPr>
      <w:hyperlink w:anchor="DeFINCOME" w:history="1">
        <w:r w:rsidR="00243AD5" w:rsidRPr="00ED6B10">
          <w:rPr>
            <w:rStyle w:val="Hyperlink"/>
            <w:rFonts w:ascii="Times New Roman" w:hAnsi="Times New Roman" w:cs="Times New Roman"/>
            <w:b/>
            <w:sz w:val="24"/>
            <w:szCs w:val="24"/>
          </w:rPr>
          <w:t>Deferring Income to 2012</w:t>
        </w:r>
      </w:hyperlink>
    </w:p>
    <w:p w:rsidR="00243AD5" w:rsidRPr="00ED6B10" w:rsidRDefault="0085109E" w:rsidP="00243AD5">
      <w:pPr>
        <w:rPr>
          <w:rFonts w:ascii="Times New Roman" w:hAnsi="Times New Roman" w:cs="Times New Roman"/>
          <w:b/>
          <w:sz w:val="24"/>
          <w:szCs w:val="24"/>
          <w:u w:val="single"/>
        </w:rPr>
      </w:pPr>
      <w:hyperlink w:anchor="AccelIncome" w:history="1">
        <w:r w:rsidR="00243AD5" w:rsidRPr="00ED6B10">
          <w:rPr>
            <w:rStyle w:val="Hyperlink"/>
            <w:rFonts w:ascii="Times New Roman" w:hAnsi="Times New Roman" w:cs="Times New Roman"/>
            <w:b/>
            <w:sz w:val="24"/>
            <w:szCs w:val="24"/>
          </w:rPr>
          <w:t>Accelerating Income into 2011</w:t>
        </w:r>
      </w:hyperlink>
    </w:p>
    <w:p w:rsidR="00243AD5" w:rsidRPr="00ED6B10" w:rsidRDefault="0085109E" w:rsidP="00243AD5">
      <w:pPr>
        <w:rPr>
          <w:rFonts w:ascii="Times New Roman" w:hAnsi="Times New Roman" w:cs="Times New Roman"/>
          <w:b/>
          <w:sz w:val="24"/>
          <w:szCs w:val="24"/>
          <w:u w:val="single"/>
        </w:rPr>
      </w:pPr>
      <w:hyperlink w:anchor="BizDeduct" w:history="1">
        <w:r w:rsidR="00243AD5" w:rsidRPr="00ED6B10">
          <w:rPr>
            <w:rStyle w:val="Hyperlink"/>
            <w:rFonts w:ascii="Times New Roman" w:hAnsi="Times New Roman" w:cs="Times New Roman"/>
            <w:b/>
            <w:sz w:val="24"/>
            <w:szCs w:val="24"/>
          </w:rPr>
          <w:t>Business Deductions</w:t>
        </w:r>
      </w:hyperlink>
    </w:p>
    <w:p w:rsidR="00243AD5" w:rsidRPr="00ED6B10" w:rsidRDefault="0085109E" w:rsidP="00243AD5">
      <w:pPr>
        <w:rPr>
          <w:rFonts w:ascii="Times New Roman" w:hAnsi="Times New Roman" w:cs="Times New Roman"/>
          <w:b/>
          <w:sz w:val="24"/>
          <w:szCs w:val="24"/>
          <w:u w:val="single"/>
        </w:rPr>
      </w:pPr>
      <w:hyperlink w:anchor="Children" w:history="1">
        <w:r w:rsidR="00243AD5" w:rsidRPr="00ED6B10">
          <w:rPr>
            <w:rStyle w:val="Hyperlink"/>
            <w:rFonts w:ascii="Times New Roman" w:hAnsi="Times New Roman" w:cs="Times New Roman"/>
            <w:b/>
            <w:sz w:val="24"/>
            <w:szCs w:val="24"/>
          </w:rPr>
          <w:t xml:space="preserve">Child </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2" name="Picture 177"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revious hit">
                        <a:hlinkClick r:id="rId1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243AD5" w:rsidRPr="00ED6B10">
          <w:rPr>
            <w:rStyle w:val="Hyperlink"/>
            <w:rFonts w:ascii="Times New Roman" w:hAnsi="Times New Roman" w:cs="Times New Roman"/>
            <w:b/>
            <w:sz w:val="24"/>
            <w:szCs w:val="24"/>
          </w:rPr>
          <w:t>Tax</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3" name="Picture 178"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next hit">
                        <a:hlinkClick r:id="rId1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243AD5" w:rsidRPr="00ED6B10">
          <w:rPr>
            <w:rStyle w:val="Hyperlink"/>
            <w:rFonts w:ascii="Times New Roman" w:hAnsi="Times New Roman" w:cs="Times New Roman"/>
            <w:b/>
            <w:sz w:val="24"/>
            <w:szCs w:val="24"/>
          </w:rPr>
          <w:t xml:space="preserve"> Benefits</w:t>
        </w:r>
      </w:hyperlink>
    </w:p>
    <w:p w:rsidR="00243AD5" w:rsidRPr="00ED6B10" w:rsidRDefault="0085109E" w:rsidP="00243AD5">
      <w:pPr>
        <w:rPr>
          <w:rFonts w:ascii="Times New Roman" w:hAnsi="Times New Roman" w:cs="Times New Roman"/>
          <w:b/>
          <w:sz w:val="24"/>
          <w:szCs w:val="24"/>
          <w:u w:val="single"/>
        </w:rPr>
      </w:pPr>
      <w:hyperlink w:anchor="Eduction" w:history="1">
        <w:r w:rsidR="00243AD5" w:rsidRPr="00ED6B10">
          <w:rPr>
            <w:rStyle w:val="Hyperlink"/>
            <w:rFonts w:ascii="Times New Roman" w:hAnsi="Times New Roman" w:cs="Times New Roman"/>
            <w:b/>
            <w:sz w:val="24"/>
            <w:szCs w:val="24"/>
          </w:rPr>
          <w:t>Education Benefits</w:t>
        </w:r>
      </w:hyperlink>
    </w:p>
    <w:p w:rsidR="00243AD5" w:rsidRPr="00ED6B10" w:rsidRDefault="0085109E" w:rsidP="00243AD5">
      <w:pPr>
        <w:rPr>
          <w:rFonts w:ascii="Times New Roman" w:hAnsi="Times New Roman" w:cs="Times New Roman"/>
          <w:b/>
          <w:sz w:val="24"/>
          <w:szCs w:val="24"/>
          <w:u w:val="single"/>
        </w:rPr>
      </w:pPr>
      <w:hyperlink w:anchor="ENERGY" w:history="1">
        <w:r w:rsidR="00243AD5" w:rsidRPr="00ED6B10">
          <w:rPr>
            <w:rStyle w:val="Hyperlink"/>
            <w:rFonts w:ascii="Times New Roman" w:hAnsi="Times New Roman" w:cs="Times New Roman"/>
            <w:b/>
            <w:sz w:val="24"/>
            <w:szCs w:val="24"/>
          </w:rPr>
          <w:t>Energy Incentives</w:t>
        </w:r>
      </w:hyperlink>
    </w:p>
    <w:p w:rsidR="00243AD5" w:rsidRPr="00ED6B10" w:rsidRDefault="0085109E" w:rsidP="00243AD5">
      <w:pPr>
        <w:rPr>
          <w:rFonts w:ascii="Times New Roman" w:hAnsi="Times New Roman" w:cs="Times New Roman"/>
          <w:b/>
          <w:sz w:val="24"/>
          <w:szCs w:val="24"/>
          <w:u w:val="single"/>
        </w:rPr>
      </w:pPr>
      <w:hyperlink w:anchor="Bizcreds" w:history="1">
        <w:r w:rsidR="00243AD5" w:rsidRPr="00ED6B10">
          <w:rPr>
            <w:rStyle w:val="Hyperlink"/>
            <w:rFonts w:ascii="Times New Roman" w:hAnsi="Times New Roman" w:cs="Times New Roman"/>
            <w:b/>
            <w:sz w:val="24"/>
            <w:szCs w:val="24"/>
          </w:rPr>
          <w:t>Business Credits</w:t>
        </w:r>
      </w:hyperlink>
    </w:p>
    <w:p w:rsidR="00243AD5" w:rsidRPr="00ED6B10" w:rsidRDefault="0085109E" w:rsidP="00243AD5">
      <w:pPr>
        <w:rPr>
          <w:rStyle w:val="displayhltext"/>
          <w:rFonts w:ascii="Times New Roman" w:hAnsi="Times New Roman" w:cs="Times New Roman"/>
          <w:b/>
          <w:sz w:val="24"/>
          <w:szCs w:val="24"/>
          <w:u w:val="single"/>
        </w:rPr>
      </w:pPr>
      <w:hyperlink w:anchor="InvPlnning" w:history="1">
        <w:r w:rsidR="00243AD5" w:rsidRPr="00ED6B10">
          <w:rPr>
            <w:rStyle w:val="Hyperlink"/>
            <w:rFonts w:ascii="Times New Roman" w:hAnsi="Times New Roman" w:cs="Times New Roman"/>
            <w:b/>
            <w:sz w:val="24"/>
            <w:szCs w:val="24"/>
          </w:rPr>
          <w:t xml:space="preserve">Investment </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4" name="Picture 213"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revious hit">
                        <a:hlinkClick r:id="rId1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243AD5" w:rsidRPr="00ED6B10">
          <w:rPr>
            <w:rStyle w:val="Hyperlink"/>
            <w:rFonts w:ascii="Times New Roman" w:hAnsi="Times New Roman" w:cs="Times New Roman"/>
            <w:b/>
            <w:sz w:val="24"/>
            <w:szCs w:val="24"/>
          </w:rPr>
          <w:t>Planning</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5" name="Picture 214"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next hit">
                        <a:hlinkClick r:id="rId1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p>
    <w:p w:rsidR="00243AD5" w:rsidRPr="00ED6B10" w:rsidRDefault="0085109E" w:rsidP="00243AD5">
      <w:pPr>
        <w:rPr>
          <w:rStyle w:val="displayhltext"/>
          <w:rFonts w:ascii="Times New Roman" w:hAnsi="Times New Roman" w:cs="Times New Roman"/>
          <w:b/>
          <w:sz w:val="24"/>
          <w:szCs w:val="24"/>
          <w:u w:val="single"/>
        </w:rPr>
      </w:pPr>
      <w:hyperlink w:anchor="AMT" w:history="1">
        <w:r w:rsidR="00243AD5" w:rsidRPr="00ED6B10">
          <w:rPr>
            <w:rStyle w:val="Hyperlink"/>
            <w:rFonts w:ascii="Times New Roman" w:hAnsi="Times New Roman" w:cs="Times New Roman"/>
            <w:b/>
            <w:sz w:val="24"/>
            <w:szCs w:val="24"/>
          </w:rPr>
          <w:t xml:space="preserve">Alternative Minimum </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6" name="Picture 229"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revious hit">
                        <a:hlinkClick r:id="rId1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243AD5" w:rsidRPr="00ED6B10">
          <w:rPr>
            <w:rStyle w:val="Hyperlink"/>
            <w:rFonts w:ascii="Times New Roman" w:hAnsi="Times New Roman" w:cs="Times New Roman"/>
            <w:b/>
            <w:sz w:val="24"/>
            <w:szCs w:val="24"/>
          </w:rPr>
          <w:t>Tax</w:t>
        </w:r>
        <w:r w:rsidR="00243AD5" w:rsidRPr="00ED6B10">
          <w:rPr>
            <w:rStyle w:val="Hyperlink"/>
            <w:rFonts w:ascii="Times New Roman" w:hAnsi="Times New Roman" w:cs="Times New Roman"/>
            <w:b/>
            <w:noProof/>
            <w:sz w:val="24"/>
            <w:szCs w:val="24"/>
          </w:rPr>
          <w:drawing>
            <wp:inline distT="0" distB="0" distL="0" distR="0">
              <wp:extent cx="9525" cy="9525"/>
              <wp:effectExtent l="0" t="0" r="0" b="0"/>
              <wp:docPr id="657" name="Picture 230"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next hit">
                        <a:hlinkClick r:id="rId1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p>
    <w:p w:rsidR="00243AD5" w:rsidRPr="00ED6B10" w:rsidRDefault="00243AD5" w:rsidP="00243AD5">
      <w:pPr>
        <w:rPr>
          <w:rFonts w:ascii="Times New Roman" w:hAnsi="Times New Roman" w:cs="Times New Roman"/>
          <w:b/>
          <w:sz w:val="24"/>
          <w:szCs w:val="24"/>
          <w:u w:val="single"/>
        </w:rPr>
      </w:pPr>
    </w:p>
    <w:p w:rsidR="00243AD5" w:rsidRPr="00ED6B10" w:rsidRDefault="00243AD5" w:rsidP="00243AD5">
      <w:pPr>
        <w:rPr>
          <w:rFonts w:ascii="Times New Roman" w:hAnsi="Times New Roman" w:cs="Times New Roman"/>
          <w:b/>
          <w:sz w:val="24"/>
          <w:szCs w:val="24"/>
          <w:u w:val="single"/>
        </w:rPr>
      </w:pPr>
      <w:r w:rsidRPr="00ED6B10">
        <w:rPr>
          <w:rFonts w:ascii="Times New Roman" w:hAnsi="Times New Roman" w:cs="Times New Roman"/>
          <w:b/>
          <w:sz w:val="24"/>
          <w:szCs w:val="24"/>
          <w:u w:val="single"/>
        </w:rPr>
        <w:t>Basic Numbers You Need To Know</w:t>
      </w:r>
    </w:p>
    <w:p w:rsidR="00243AD5" w:rsidRPr="00ED6B10" w:rsidRDefault="00243AD5" w:rsidP="00243AD5">
      <w:pPr>
        <w:rPr>
          <w:rFonts w:ascii="Times New Roman" w:hAnsi="Times New Roman" w:cs="Times New Roman"/>
          <w:sz w:val="24"/>
          <w:szCs w:val="24"/>
        </w:rPr>
      </w:pPr>
    </w:p>
    <w:p w:rsidR="00243AD5" w:rsidRPr="00ED6B10" w:rsidRDefault="00243AD5" w:rsidP="00243AD5">
      <w:pPr>
        <w:rPr>
          <w:rFonts w:ascii="Times New Roman" w:hAnsi="Times New Roman" w:cs="Times New Roman"/>
          <w:sz w:val="24"/>
          <w:szCs w:val="24"/>
        </w:rPr>
      </w:pPr>
      <w:r w:rsidRPr="00ED6B10">
        <w:rPr>
          <w:rFonts w:ascii="Times New Roman" w:hAnsi="Times New Roman" w:cs="Times New Roman"/>
          <w:sz w:val="24"/>
          <w:szCs w:val="24"/>
        </w:rPr>
        <w:t xml:space="preserve">Because many </w:t>
      </w:r>
      <w:bookmarkStart w:id="2" w:name="ctx19"/>
      <w:bookmarkEnd w:id="2"/>
      <w:r w:rsidRPr="00ED6B10">
        <w:rPr>
          <w:rFonts w:ascii="Times New Roman" w:hAnsi="Times New Roman" w:cs="Times New Roman"/>
          <w:noProof/>
          <w:color w:val="0000FF"/>
          <w:sz w:val="24"/>
          <w:szCs w:val="24"/>
        </w:rPr>
        <w:drawing>
          <wp:inline distT="0" distB="0" distL="0" distR="0">
            <wp:extent cx="9525" cy="9525"/>
            <wp:effectExtent l="0" t="0" r="0" b="0"/>
            <wp:docPr id="658" name="Picture 19"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ous hit">
                      <a:hlinkClick r:id="rId1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59" name="Picture 20" descr="next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xt hit">
                      <a:hlinkClick r:id="rId1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benefits are tied to or limited by adjusted gross income (AGI)—IRA deductions, for example—a key aspect of </w:t>
      </w:r>
      <w:bookmarkStart w:id="3" w:name="ctx20"/>
      <w:bookmarkEnd w:id="3"/>
      <w:r w:rsidRPr="00ED6B10">
        <w:rPr>
          <w:rFonts w:ascii="Times New Roman" w:hAnsi="Times New Roman" w:cs="Times New Roman"/>
          <w:noProof/>
          <w:color w:val="0000FF"/>
          <w:sz w:val="24"/>
          <w:szCs w:val="24"/>
        </w:rPr>
        <w:drawing>
          <wp:inline distT="0" distB="0" distL="0" distR="0">
            <wp:extent cx="9525" cy="9525"/>
            <wp:effectExtent l="0" t="0" r="0" b="0"/>
            <wp:docPr id="660" name="Picture 21" descr="previous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ous hit">
                      <a:hlinkClick r:id="rId2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61" name="Picture 22" descr="next hi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xt hit">
                      <a:hlinkClick r:id="rId2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w:t>
      </w:r>
      <w:bookmarkStart w:id="4" w:name="ctx21"/>
      <w:bookmarkEnd w:id="4"/>
      <w:r w:rsidRPr="00ED6B10">
        <w:rPr>
          <w:rFonts w:ascii="Times New Roman" w:hAnsi="Times New Roman" w:cs="Times New Roman"/>
          <w:noProof/>
          <w:color w:val="0000FF"/>
          <w:sz w:val="24"/>
          <w:szCs w:val="24"/>
        </w:rPr>
        <w:drawing>
          <wp:inline distT="0" distB="0" distL="0" distR="0">
            <wp:extent cx="9525" cy="9525"/>
            <wp:effectExtent l="0" t="0" r="0" b="0"/>
            <wp:docPr id="662" name="Picture 23" descr="previous hi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ous hit">
                      <a:hlinkClick r:id="rId2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planning</w:t>
      </w:r>
      <w:r w:rsidRPr="00ED6B10">
        <w:rPr>
          <w:rFonts w:ascii="Times New Roman" w:hAnsi="Times New Roman" w:cs="Times New Roman"/>
          <w:noProof/>
          <w:color w:val="0000FF"/>
          <w:sz w:val="24"/>
          <w:szCs w:val="24"/>
        </w:rPr>
        <w:drawing>
          <wp:inline distT="0" distB="0" distL="0" distR="0">
            <wp:extent cx="9525" cy="9525"/>
            <wp:effectExtent l="0" t="0" r="0" b="0"/>
            <wp:docPr id="663" name="Picture 24" descr="next hi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xt hit">
                      <a:hlinkClick r:id="rId2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is to estimate both your 2011 and 2012 AGI. Also, when considering whether to accelerate or defer income or deductions, you should be </w:t>
      </w:r>
      <w:r w:rsidRPr="00ED6B10">
        <w:rPr>
          <w:rFonts w:ascii="Times New Roman" w:hAnsi="Times New Roman" w:cs="Times New Roman"/>
          <w:sz w:val="24"/>
          <w:szCs w:val="24"/>
        </w:rPr>
        <w:lastRenderedPageBreak/>
        <w:t xml:space="preserve">aware of the impact this action may have on your AGI and your ability to maximize itemized deductions that are tied to AGI. Your 2010 </w:t>
      </w:r>
      <w:bookmarkStart w:id="5" w:name="ctx22"/>
      <w:bookmarkEnd w:id="5"/>
      <w:r w:rsidRPr="00ED6B10">
        <w:rPr>
          <w:rFonts w:ascii="Times New Roman" w:hAnsi="Times New Roman" w:cs="Times New Roman"/>
          <w:noProof/>
          <w:color w:val="0000FF"/>
          <w:sz w:val="24"/>
          <w:szCs w:val="24"/>
        </w:rPr>
        <w:drawing>
          <wp:inline distT="0" distB="0" distL="0" distR="0">
            <wp:extent cx="9525" cy="9525"/>
            <wp:effectExtent l="0" t="0" r="0" b="0"/>
            <wp:docPr id="664" name="Picture 25" descr="previous h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evious hit">
                      <a:hlinkClick r:id="rId2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65" name="Picture 26" descr="next h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xt hit">
                      <a:hlinkClick r:id="rId2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return and your 2011 pay stubs and other income- and deduction-related materials are a good starting point for estimating your AGI.</w:t>
      </w:r>
    </w:p>
    <w:p w:rsidR="00243AD5" w:rsidRPr="00ED6B10" w:rsidRDefault="00243AD5" w:rsidP="00243AD5">
      <w:pPr>
        <w:rPr>
          <w:rFonts w:ascii="Times New Roman" w:hAnsi="Times New Roman" w:cs="Times New Roman"/>
          <w:sz w:val="24"/>
          <w:szCs w:val="24"/>
        </w:rPr>
      </w:pPr>
      <w:r w:rsidRPr="00ED6B10">
        <w:rPr>
          <w:rFonts w:ascii="Times New Roman" w:hAnsi="Times New Roman" w:cs="Times New Roman"/>
          <w:sz w:val="24"/>
          <w:szCs w:val="24"/>
        </w:rPr>
        <w:t>Another important number is your “</w:t>
      </w:r>
      <w:bookmarkStart w:id="6" w:name="ctx23"/>
      <w:bookmarkEnd w:id="6"/>
      <w:r w:rsidRPr="00ED6B10">
        <w:rPr>
          <w:rFonts w:ascii="Times New Roman" w:hAnsi="Times New Roman" w:cs="Times New Roman"/>
          <w:noProof/>
          <w:color w:val="0000FF"/>
          <w:sz w:val="24"/>
          <w:szCs w:val="24"/>
        </w:rPr>
        <w:drawing>
          <wp:inline distT="0" distB="0" distL="0" distR="0">
            <wp:extent cx="9525" cy="9525"/>
            <wp:effectExtent l="0" t="0" r="0" b="0"/>
            <wp:docPr id="666" name="Picture 27" descr="previous hi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evious hit">
                      <a:hlinkClick r:id="rId2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67" name="Picture 28" descr="next hi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xt hit">
                      <a:hlinkClick r:id="rId2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bracket,” i.e., the rate at which your last dollar of income is taxed. The </w:t>
      </w:r>
      <w:bookmarkStart w:id="7" w:name="ctx24"/>
      <w:bookmarkEnd w:id="7"/>
      <w:r w:rsidRPr="00ED6B10">
        <w:rPr>
          <w:rFonts w:ascii="Times New Roman" w:hAnsi="Times New Roman" w:cs="Times New Roman"/>
          <w:noProof/>
          <w:color w:val="0000FF"/>
          <w:sz w:val="24"/>
          <w:szCs w:val="24"/>
        </w:rPr>
        <w:drawing>
          <wp:inline distT="0" distB="0" distL="0" distR="0">
            <wp:extent cx="9525" cy="9525"/>
            <wp:effectExtent l="0" t="0" r="0" b="0"/>
            <wp:docPr id="668" name="Picture 29" descr="previous hi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ous hit">
                      <a:hlinkClick r:id="rId2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69" name="Picture 30" descr="next hi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xt hit">
                      <a:hlinkClick r:id="rId2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rates for 2011 are 10%, 15%, 25%, 28%, 31%, and 35%. Although </w:t>
      </w:r>
      <w:bookmarkStart w:id="8" w:name="ctx25"/>
      <w:bookmarkEnd w:id="8"/>
      <w:r w:rsidRPr="00ED6B10">
        <w:rPr>
          <w:rFonts w:ascii="Times New Roman" w:hAnsi="Times New Roman" w:cs="Times New Roman"/>
          <w:noProof/>
          <w:color w:val="0000FF"/>
          <w:sz w:val="24"/>
          <w:szCs w:val="24"/>
        </w:rPr>
        <w:drawing>
          <wp:inline distT="0" distB="0" distL="0" distR="0">
            <wp:extent cx="9525" cy="9525"/>
            <wp:effectExtent l="0" t="0" r="0" b="0"/>
            <wp:docPr id="670" name="Picture 31" descr="previous hi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evious hit">
                      <a:hlinkClick r:id="rId3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71" name="Picture 32" descr="next hi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xt hit">
                      <a:hlinkClick r:id="rId3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brackets are indexed for inflation, if your income increases faster than the inflation adjustment, you may be pushed into a higher bracket. If so, </w:t>
      </w:r>
      <w:proofErr w:type="gramStart"/>
      <w:r w:rsidRPr="00ED6B10">
        <w:rPr>
          <w:rFonts w:ascii="Times New Roman" w:hAnsi="Times New Roman" w:cs="Times New Roman"/>
          <w:sz w:val="24"/>
          <w:szCs w:val="24"/>
        </w:rPr>
        <w:t>your</w:t>
      </w:r>
      <w:proofErr w:type="gramEnd"/>
      <w:r w:rsidRPr="00ED6B10">
        <w:rPr>
          <w:rFonts w:ascii="Times New Roman" w:hAnsi="Times New Roman" w:cs="Times New Roman"/>
          <w:sz w:val="24"/>
          <w:szCs w:val="24"/>
        </w:rPr>
        <w:t xml:space="preserve"> potential benefit from any </w:t>
      </w:r>
      <w:bookmarkStart w:id="9" w:name="ctx26"/>
      <w:bookmarkEnd w:id="9"/>
      <w:r w:rsidRPr="00ED6B10">
        <w:rPr>
          <w:rFonts w:ascii="Times New Roman" w:hAnsi="Times New Roman" w:cs="Times New Roman"/>
          <w:noProof/>
          <w:color w:val="0000FF"/>
          <w:sz w:val="24"/>
          <w:szCs w:val="24"/>
        </w:rPr>
        <w:drawing>
          <wp:inline distT="0" distB="0" distL="0" distR="0">
            <wp:extent cx="9525" cy="9525"/>
            <wp:effectExtent l="0" t="0" r="0" b="0"/>
            <wp:docPr id="672" name="Picture 33" descr="previous hi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evious hit">
                      <a:hlinkClick r:id="rId3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73" name="Picture 34" descr="next hi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xt hit">
                      <a:hlinkClick r:id="rId3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-saving opportunity is increased (as is the cost of overlooking that opportunity).</w:t>
      </w:r>
    </w:p>
    <w:p w:rsidR="00243AD5" w:rsidRPr="00ED6B10" w:rsidRDefault="00243AD5" w:rsidP="00243AD5">
      <w:pPr>
        <w:rPr>
          <w:rFonts w:ascii="Times New Roman" w:hAnsi="Times New Roman" w:cs="Times New Roman"/>
          <w:b/>
          <w:sz w:val="24"/>
          <w:szCs w:val="24"/>
          <w:u w:val="single"/>
        </w:rPr>
      </w:pPr>
      <w:r w:rsidRPr="00ED6B10">
        <w:rPr>
          <w:rFonts w:ascii="Times New Roman" w:hAnsi="Times New Roman" w:cs="Times New Roman"/>
          <w:b/>
          <w:sz w:val="24"/>
          <w:szCs w:val="24"/>
          <w:u w:val="single"/>
        </w:rPr>
        <w:t>IRA, Retirement Savings Rules for 2011</w:t>
      </w:r>
    </w:p>
    <w:p w:rsidR="00243AD5" w:rsidRPr="00ED6B10" w:rsidRDefault="00243AD5" w:rsidP="00243AD5">
      <w:pPr>
        <w:rPr>
          <w:rFonts w:ascii="Times New Roman" w:hAnsi="Times New Roman" w:cs="Times New Roman"/>
          <w:sz w:val="24"/>
          <w:szCs w:val="24"/>
        </w:rPr>
      </w:pPr>
      <w:bookmarkStart w:id="10" w:name="ctx27"/>
      <w:bookmarkEnd w:id="10"/>
      <w:r w:rsidRPr="00ED6B10">
        <w:rPr>
          <w:rFonts w:ascii="Times New Roman" w:hAnsi="Times New Roman" w:cs="Times New Roman"/>
          <w:noProof/>
          <w:color w:val="0000FF"/>
          <w:sz w:val="24"/>
          <w:szCs w:val="24"/>
        </w:rPr>
        <w:drawing>
          <wp:inline distT="0" distB="0" distL="0" distR="0">
            <wp:extent cx="9525" cy="9525"/>
            <wp:effectExtent l="0" t="0" r="0" b="0"/>
            <wp:docPr id="674" name="Picture 35" descr="previous hi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evious hit">
                      <a:hlinkClick r:id="rId3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75" name="Picture 36" descr="next hi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xt hit">
                      <a:hlinkClick r:id="rId3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-saving opportunities continue for retirement </w:t>
      </w:r>
      <w:bookmarkStart w:id="11" w:name="ctx28"/>
      <w:bookmarkEnd w:id="11"/>
      <w:r w:rsidRPr="00ED6B10">
        <w:rPr>
          <w:rFonts w:ascii="Times New Roman" w:hAnsi="Times New Roman" w:cs="Times New Roman"/>
          <w:noProof/>
          <w:color w:val="0000FF"/>
          <w:sz w:val="24"/>
          <w:szCs w:val="24"/>
        </w:rPr>
        <w:drawing>
          <wp:inline distT="0" distB="0" distL="0" distR="0">
            <wp:extent cx="9525" cy="9525"/>
            <wp:effectExtent l="0" t="0" r="0" b="0"/>
            <wp:docPr id="676" name="Picture 37" descr="previous hi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evious hit">
                      <a:hlinkClick r:id="rId3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planning</w:t>
      </w:r>
      <w:r w:rsidRPr="00ED6B10">
        <w:rPr>
          <w:rFonts w:ascii="Times New Roman" w:hAnsi="Times New Roman" w:cs="Times New Roman"/>
          <w:noProof/>
          <w:color w:val="0000FF"/>
          <w:sz w:val="24"/>
          <w:szCs w:val="24"/>
        </w:rPr>
        <w:drawing>
          <wp:inline distT="0" distB="0" distL="0" distR="0">
            <wp:extent cx="9525" cy="9525"/>
            <wp:effectExtent l="0" t="0" r="0" b="0"/>
            <wp:docPr id="677" name="Picture 38" descr="next hi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xt hit">
                      <a:hlinkClick r:id="rId3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due to the availability of Roth IRAs, changes that make regular IRAs more attractive, and other retirement savings incentives.</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Traditional IRAs</w:t>
      </w:r>
      <w:r w:rsidRPr="00ED6B10">
        <w:rPr>
          <w:rFonts w:ascii="Times New Roman" w:hAnsi="Times New Roman" w:cs="Times New Roman"/>
          <w:sz w:val="24"/>
          <w:szCs w:val="24"/>
        </w:rPr>
        <w:t xml:space="preserve">: Individuals who are not active participants in an employer pension plan may make deductible contributions to an IRA. The annual deductible contribution limit for an IRA for 2011 is $5,000. For 2011, a $1,000 “catch-up” contribution is allowed for taxpayers age 50 or older by the close of the taxable </w:t>
      </w:r>
      <w:bookmarkStart w:id="12" w:name="ctx29"/>
      <w:bookmarkEnd w:id="12"/>
      <w:r w:rsidRPr="00ED6B10">
        <w:rPr>
          <w:rFonts w:ascii="Times New Roman" w:hAnsi="Times New Roman" w:cs="Times New Roman"/>
          <w:noProof/>
          <w:color w:val="0000FF"/>
          <w:sz w:val="24"/>
          <w:szCs w:val="24"/>
        </w:rPr>
        <w:drawing>
          <wp:inline distT="0" distB="0" distL="0" distR="0">
            <wp:extent cx="9525" cy="9525"/>
            <wp:effectExtent l="0" t="0" r="0" b="0"/>
            <wp:docPr id="678" name="Picture 39" descr="previous hi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evious hit">
                      <a:hlinkClick r:id="rId3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79" name="Picture 40" descr="next hi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xt hit">
                      <a:hlinkClick r:id="rId3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making the total limit $6,000 for these individuals. Individuals who are active participants in an employer pension plan also may make deductible contributions to an IRA, but their contributions are limited in amount depending on their AGI. For 2011, the AGI phase-out range for deductibility of IRA contributions is between $56,000 and $66,000 of modified AGI for single persons (including heads of households), and between $90,000 and $110,000 of modified AGI for married filing jointly. Above these ranges, no deduction is allowed.</w:t>
      </w:r>
    </w:p>
    <w:p w:rsidR="00243AD5" w:rsidRPr="00ED6B10" w:rsidRDefault="00243AD5" w:rsidP="00243AD5">
      <w:pPr>
        <w:rPr>
          <w:rFonts w:ascii="Times New Roman" w:hAnsi="Times New Roman" w:cs="Times New Roman"/>
          <w:sz w:val="24"/>
          <w:szCs w:val="24"/>
        </w:rPr>
      </w:pPr>
      <w:r w:rsidRPr="00ED6B10">
        <w:rPr>
          <w:rFonts w:ascii="Times New Roman" w:hAnsi="Times New Roman" w:cs="Times New Roman"/>
          <w:sz w:val="24"/>
          <w:szCs w:val="24"/>
        </w:rPr>
        <w:t xml:space="preserve">In addition, an individual will not be considered an “active participant” in an employer plan simply because the individual's spouse is an active participant for part of a plan </w:t>
      </w:r>
      <w:bookmarkStart w:id="13" w:name="ctx30"/>
      <w:bookmarkEnd w:id="13"/>
      <w:r w:rsidRPr="00ED6B10">
        <w:rPr>
          <w:rFonts w:ascii="Times New Roman" w:hAnsi="Times New Roman" w:cs="Times New Roman"/>
          <w:noProof/>
          <w:color w:val="0000FF"/>
          <w:sz w:val="24"/>
          <w:szCs w:val="24"/>
        </w:rPr>
        <w:drawing>
          <wp:inline distT="0" distB="0" distL="0" distR="0">
            <wp:extent cx="9525" cy="9525"/>
            <wp:effectExtent l="0" t="0" r="0" b="0"/>
            <wp:docPr id="680" name="Picture 41" descr="previous hi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vious hit">
                      <a:hlinkClick r:id="rId4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81" name="Picture 42" descr="next hi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ext hit">
                      <a:hlinkClick r:id="rId4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Thus, you may be able to take the full deduction for an IRA contribution regardless of whether your spouse is covered by a plan at work, subject to a phase-out if your joint modified AGI is $169,000 to $179,000 for 2011. Above this range, no deduction is allowed.</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Spousal IRA</w:t>
      </w:r>
      <w:r w:rsidRPr="00ED6B10">
        <w:rPr>
          <w:rFonts w:ascii="Times New Roman" w:hAnsi="Times New Roman" w:cs="Times New Roman"/>
          <w:sz w:val="24"/>
          <w:szCs w:val="24"/>
        </w:rPr>
        <w:t xml:space="preserve">: If an individual files a joint return and has less compensation than his or her spouse, the IRA contribution is limited to the lesser of $5,000 for 2011 plus age 50 catch-up </w:t>
      </w:r>
      <w:r w:rsidRPr="00ED6B10">
        <w:rPr>
          <w:rFonts w:ascii="Times New Roman" w:hAnsi="Times New Roman" w:cs="Times New Roman"/>
          <w:sz w:val="24"/>
          <w:szCs w:val="24"/>
        </w:rPr>
        <w:lastRenderedPageBreak/>
        <w:t>contributions, or the total compensation of both spouses reduced by the other spouse's IRA contributions (traditional and Roth).</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Roth IRA</w:t>
      </w:r>
      <w:r w:rsidRPr="00ED6B10">
        <w:rPr>
          <w:rFonts w:ascii="Times New Roman" w:hAnsi="Times New Roman" w:cs="Times New Roman"/>
          <w:sz w:val="24"/>
          <w:szCs w:val="24"/>
        </w:rPr>
        <w:t xml:space="preserve">: This type of IRA permits nondeductible contributions of up to $5,000 a </w:t>
      </w:r>
      <w:bookmarkStart w:id="14" w:name="ctx31"/>
      <w:bookmarkEnd w:id="14"/>
      <w:r w:rsidRPr="00ED6B10">
        <w:rPr>
          <w:rFonts w:ascii="Times New Roman" w:hAnsi="Times New Roman" w:cs="Times New Roman"/>
          <w:noProof/>
          <w:color w:val="0000FF"/>
          <w:sz w:val="24"/>
          <w:szCs w:val="24"/>
        </w:rPr>
        <w:drawing>
          <wp:inline distT="0" distB="0" distL="0" distR="0">
            <wp:extent cx="9525" cy="9525"/>
            <wp:effectExtent l="0" t="0" r="0" b="0"/>
            <wp:docPr id="682" name="Picture 43" descr="previous h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ous hit">
                      <a:hlinkClick r:id="rId4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83" name="Picture 44" descr="next hi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xt hit">
                      <a:hlinkClick r:id="rId4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Earnings grow </w:t>
      </w:r>
      <w:bookmarkStart w:id="15" w:name="ctx32"/>
      <w:bookmarkEnd w:id="15"/>
      <w:r w:rsidRPr="00ED6B10">
        <w:rPr>
          <w:rFonts w:ascii="Times New Roman" w:hAnsi="Times New Roman" w:cs="Times New Roman"/>
          <w:noProof/>
          <w:color w:val="0000FF"/>
          <w:sz w:val="24"/>
          <w:szCs w:val="24"/>
        </w:rPr>
        <w:drawing>
          <wp:inline distT="0" distB="0" distL="0" distR="0">
            <wp:extent cx="9525" cy="9525"/>
            <wp:effectExtent l="0" t="0" r="0" b="0"/>
            <wp:docPr id="684" name="Picture 45" descr="previous hit">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evious hit">
                      <a:hlinkClick r:id="rId4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85" name="Picture 46" descr="next hit">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ext hit">
                      <a:hlinkClick r:id="rId4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-free, and distributions are </w:t>
      </w:r>
      <w:bookmarkStart w:id="16" w:name="ctx33"/>
      <w:bookmarkEnd w:id="16"/>
      <w:r w:rsidRPr="00ED6B10">
        <w:rPr>
          <w:rFonts w:ascii="Times New Roman" w:hAnsi="Times New Roman" w:cs="Times New Roman"/>
          <w:noProof/>
          <w:color w:val="0000FF"/>
          <w:sz w:val="24"/>
          <w:szCs w:val="24"/>
        </w:rPr>
        <w:drawing>
          <wp:inline distT="0" distB="0" distL="0" distR="0">
            <wp:extent cx="9525" cy="9525"/>
            <wp:effectExtent l="0" t="0" r="0" b="0"/>
            <wp:docPr id="686" name="Picture 47" descr="previous hit">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evious hit">
                      <a:hlinkClick r:id="rId4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87" name="Picture 48" descr="next hi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ext hit">
                      <a:hlinkClick r:id="rId4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-free provided no distributions are made until more than five years after the first contribution and the individual has reached age 59</w:t>
      </w:r>
      <w:r w:rsidRPr="00ED6B10">
        <w:rPr>
          <w:rFonts w:ascii="Times New Roman" w:hAnsi="Times New Roman" w:cs="Times New Roman"/>
          <w:sz w:val="24"/>
          <w:szCs w:val="24"/>
          <w:vertAlign w:val="superscript"/>
        </w:rPr>
        <w:t>1</w:t>
      </w:r>
      <w:r w:rsidRPr="00ED6B10">
        <w:rPr>
          <w:rFonts w:ascii="Times New Roman" w:hAnsi="Times New Roman" w:cs="Times New Roman"/>
          <w:sz w:val="24"/>
          <w:szCs w:val="24"/>
        </w:rPr>
        <w:t>/</w:t>
      </w:r>
      <w:r w:rsidRPr="00ED6B10">
        <w:rPr>
          <w:rFonts w:ascii="Times New Roman" w:hAnsi="Times New Roman" w:cs="Times New Roman"/>
          <w:sz w:val="24"/>
          <w:szCs w:val="24"/>
          <w:vertAlign w:val="subscript"/>
        </w:rPr>
        <w:t>2</w:t>
      </w:r>
      <w:r w:rsidRPr="00ED6B10">
        <w:rPr>
          <w:rFonts w:ascii="Times New Roman" w:hAnsi="Times New Roman" w:cs="Times New Roman"/>
          <w:sz w:val="24"/>
          <w:szCs w:val="24"/>
        </w:rPr>
        <w:t xml:space="preserve">. Distributions may be made earlier on account of the individual's disability or death. The maximum contribution is phased out in 2011 for persons with an AGI above certain amounts: $169,000 to $179,000 for married filing jointly, and $107,000 to $122,000 for single taxpayers (including heads of households); and between $0 and $10,000 for married filing separately who lived with the spouse during the </w:t>
      </w:r>
      <w:bookmarkStart w:id="17" w:name="ctx34"/>
      <w:bookmarkEnd w:id="17"/>
      <w:r w:rsidRPr="00ED6B10">
        <w:rPr>
          <w:rFonts w:ascii="Times New Roman" w:hAnsi="Times New Roman" w:cs="Times New Roman"/>
          <w:noProof/>
          <w:color w:val="0000FF"/>
          <w:sz w:val="24"/>
          <w:szCs w:val="24"/>
        </w:rPr>
        <w:drawing>
          <wp:inline distT="0" distB="0" distL="0" distR="0">
            <wp:extent cx="9525" cy="9525"/>
            <wp:effectExtent l="0" t="0" r="0" b="0"/>
            <wp:docPr id="688" name="Picture 49" descr="previous hi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revious hit">
                      <a:hlinkClick r:id="rId4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89" name="Picture 50" descr="next hit">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ext hit">
                      <a:hlinkClick r:id="rId4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Roth IRA Conversion Rule</w:t>
      </w:r>
      <w:r w:rsidRPr="00ED6B10">
        <w:rPr>
          <w:rFonts w:ascii="Times New Roman" w:hAnsi="Times New Roman" w:cs="Times New Roman"/>
          <w:sz w:val="24"/>
          <w:szCs w:val="24"/>
        </w:rPr>
        <w:t xml:space="preserve">: Funds in a traditional IRA (including SEPs and SIMPLE IRAs), </w:t>
      </w:r>
      <w:hyperlink r:id="rId50" w:tgtFrame="_top" w:history="1">
        <w:r w:rsidRPr="00ED6B10">
          <w:rPr>
            <w:rStyle w:val="Hyperlink"/>
            <w:rFonts w:ascii="Times New Roman" w:hAnsi="Times New Roman" w:cs="Times New Roman"/>
            <w:sz w:val="24"/>
            <w:szCs w:val="24"/>
          </w:rPr>
          <w:t>§401(a)</w:t>
        </w:r>
      </w:hyperlink>
      <w:r w:rsidRPr="00ED6B10">
        <w:rPr>
          <w:rFonts w:ascii="Times New Roman" w:hAnsi="Times New Roman" w:cs="Times New Roman"/>
          <w:sz w:val="24"/>
          <w:szCs w:val="24"/>
        </w:rPr>
        <w:t xml:space="preserve"> qualified retirement plan, </w:t>
      </w:r>
      <w:hyperlink r:id="rId51" w:tgtFrame="_top" w:history="1">
        <w:r w:rsidRPr="00ED6B10">
          <w:rPr>
            <w:rStyle w:val="Hyperlink"/>
            <w:rFonts w:ascii="Times New Roman" w:hAnsi="Times New Roman" w:cs="Times New Roman"/>
            <w:sz w:val="24"/>
            <w:szCs w:val="24"/>
          </w:rPr>
          <w:t>§403(b)</w:t>
        </w:r>
      </w:hyperlink>
      <w:r w:rsidRPr="00ED6B10">
        <w:rPr>
          <w:rFonts w:ascii="Times New Roman" w:hAnsi="Times New Roman" w:cs="Times New Roman"/>
          <w:sz w:val="24"/>
          <w:szCs w:val="24"/>
        </w:rPr>
        <w:t xml:space="preserve"> </w:t>
      </w:r>
      <w:bookmarkStart w:id="18" w:name="ctx35"/>
      <w:bookmarkEnd w:id="18"/>
      <w:r w:rsidRPr="00ED6B10">
        <w:rPr>
          <w:rFonts w:ascii="Times New Roman" w:hAnsi="Times New Roman" w:cs="Times New Roman"/>
          <w:noProof/>
          <w:color w:val="0000FF"/>
          <w:sz w:val="24"/>
          <w:szCs w:val="24"/>
        </w:rPr>
        <w:drawing>
          <wp:inline distT="0" distB="0" distL="0" distR="0">
            <wp:extent cx="9525" cy="9525"/>
            <wp:effectExtent l="0" t="0" r="0" b="0"/>
            <wp:docPr id="690" name="Picture 51" descr="previous hi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revious hit">
                      <a:hlinkClick r:id="rId5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91" name="Picture 52" descr="next hi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ext hit">
                      <a:hlinkClick r:id="rId5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-sheltered annuity or </w:t>
      </w:r>
      <w:hyperlink r:id="rId54" w:tgtFrame="_top" w:history="1">
        <w:r w:rsidRPr="00ED6B10">
          <w:rPr>
            <w:rStyle w:val="Hyperlink"/>
            <w:rFonts w:ascii="Times New Roman" w:hAnsi="Times New Roman" w:cs="Times New Roman"/>
            <w:sz w:val="24"/>
            <w:szCs w:val="24"/>
          </w:rPr>
          <w:t>§457</w:t>
        </w:r>
      </w:hyperlink>
      <w:r w:rsidRPr="00ED6B10">
        <w:rPr>
          <w:rFonts w:ascii="Times New Roman" w:hAnsi="Times New Roman" w:cs="Times New Roman"/>
          <w:sz w:val="24"/>
          <w:szCs w:val="24"/>
        </w:rPr>
        <w:t xml:space="preserve"> government plan may be rolled over into a Roth IRA. Such a rollover, however, is treated as a taxable event, and you will pay </w:t>
      </w:r>
      <w:bookmarkStart w:id="19" w:name="ctx36"/>
      <w:bookmarkEnd w:id="19"/>
      <w:r w:rsidRPr="00ED6B10">
        <w:rPr>
          <w:rFonts w:ascii="Times New Roman" w:hAnsi="Times New Roman" w:cs="Times New Roman"/>
          <w:noProof/>
          <w:color w:val="0000FF"/>
          <w:sz w:val="24"/>
          <w:szCs w:val="24"/>
        </w:rPr>
        <w:drawing>
          <wp:inline distT="0" distB="0" distL="0" distR="0">
            <wp:extent cx="9525" cy="9525"/>
            <wp:effectExtent l="0" t="0" r="0" b="0"/>
            <wp:docPr id="692" name="Picture 53" descr="previous hit">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evious hit">
                      <a:hlinkClick r:id="rId5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93" name="Picture 54" descr="next hit">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ext hit">
                      <a:hlinkClick r:id="rId5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on the amount converted. No penalties will apply if all the requirements for such a transfer are satisfied.</w:t>
      </w:r>
    </w:p>
    <w:p w:rsidR="00243AD5" w:rsidRPr="00ED6B10" w:rsidRDefault="00243AD5" w:rsidP="00243AD5">
      <w:pPr>
        <w:rPr>
          <w:rFonts w:ascii="Times New Roman" w:hAnsi="Times New Roman" w:cs="Times New Roman"/>
          <w:sz w:val="24"/>
          <w:szCs w:val="24"/>
        </w:rPr>
      </w:pPr>
      <w:r w:rsidRPr="00ED6B10">
        <w:rPr>
          <w:rFonts w:ascii="Times New Roman" w:hAnsi="Times New Roman" w:cs="Times New Roman"/>
          <w:sz w:val="24"/>
          <w:szCs w:val="24"/>
        </w:rPr>
        <w:t xml:space="preserve">In past years, a taxpayer's AGI (whether married filing jointly or single) was limited to $100,000 to make such a conversion and the taxpayer must not be a married individual filing a separate return. The AGI limitation does not apply to conversions from a Roth designated account in a </w:t>
      </w:r>
      <w:hyperlink r:id="rId57" w:tgtFrame="_top" w:history="1">
        <w:r w:rsidRPr="00ED6B10">
          <w:rPr>
            <w:rStyle w:val="Hyperlink"/>
            <w:rFonts w:ascii="Times New Roman" w:hAnsi="Times New Roman" w:cs="Times New Roman"/>
            <w:sz w:val="24"/>
            <w:szCs w:val="24"/>
          </w:rPr>
          <w:t>§401</w:t>
        </w:r>
      </w:hyperlink>
      <w:r w:rsidRPr="00ED6B10">
        <w:rPr>
          <w:rFonts w:ascii="Times New Roman" w:hAnsi="Times New Roman" w:cs="Times New Roman"/>
          <w:sz w:val="24"/>
          <w:szCs w:val="24"/>
        </w:rPr>
        <w:t xml:space="preserve"> or </w:t>
      </w:r>
      <w:hyperlink r:id="rId58" w:tgtFrame="_top" w:history="1">
        <w:r w:rsidRPr="00ED6B10">
          <w:rPr>
            <w:rStyle w:val="Hyperlink"/>
            <w:rFonts w:ascii="Times New Roman" w:hAnsi="Times New Roman" w:cs="Times New Roman"/>
            <w:sz w:val="24"/>
            <w:szCs w:val="24"/>
          </w:rPr>
          <w:t>§403(b)</w:t>
        </w:r>
      </w:hyperlink>
      <w:r w:rsidRPr="00ED6B10">
        <w:rPr>
          <w:rFonts w:ascii="Times New Roman" w:hAnsi="Times New Roman" w:cs="Times New Roman"/>
          <w:sz w:val="24"/>
          <w:szCs w:val="24"/>
        </w:rPr>
        <w:t xml:space="preserve"> plan. For 2011, the $100,000 income limit on Roth IRA conversions does not apply, and taxpayers will be able to make Roth IRA conversions without regard to their AGI. If you convert to a Roth IRA in 2011, the </w:t>
      </w:r>
      <w:bookmarkStart w:id="20" w:name="ctx37"/>
      <w:bookmarkEnd w:id="20"/>
      <w:r w:rsidRPr="00ED6B10">
        <w:rPr>
          <w:rFonts w:ascii="Times New Roman" w:hAnsi="Times New Roman" w:cs="Times New Roman"/>
          <w:noProof/>
          <w:color w:val="0000FF"/>
          <w:sz w:val="24"/>
          <w:szCs w:val="24"/>
        </w:rPr>
        <w:drawing>
          <wp:inline distT="0" distB="0" distL="0" distR="0">
            <wp:extent cx="9525" cy="9525"/>
            <wp:effectExtent l="0" t="0" r="0" b="0"/>
            <wp:docPr id="694" name="Picture 55" descr="previous hit">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revious hit">
                      <a:hlinkClick r:id="rId5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695" name="Picture 56" descr="next hi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ext hit">
                      <a:hlinkClick r:id="rId6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on the converted amount will have to be paid in the </w:t>
      </w:r>
      <w:bookmarkStart w:id="21" w:name="ctx38"/>
      <w:bookmarkEnd w:id="21"/>
      <w:r w:rsidRPr="00ED6B10">
        <w:rPr>
          <w:rFonts w:ascii="Times New Roman" w:hAnsi="Times New Roman" w:cs="Times New Roman"/>
          <w:noProof/>
          <w:color w:val="0000FF"/>
          <w:sz w:val="24"/>
          <w:szCs w:val="24"/>
        </w:rPr>
        <w:drawing>
          <wp:inline distT="0" distB="0" distL="0" distR="0">
            <wp:extent cx="9525" cy="9525"/>
            <wp:effectExtent l="0" t="0" r="0" b="0"/>
            <wp:docPr id="696" name="Picture 57" descr="previous hit">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revious hit">
                      <a:hlinkClick r:id="rId6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97" name="Picture 58" descr="next hit">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xt hit">
                      <a:hlinkClick r:id="rId6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of conversion. Also, if you already made a conversion earlier this </w:t>
      </w:r>
      <w:bookmarkStart w:id="22" w:name="ctx39"/>
      <w:bookmarkEnd w:id="22"/>
      <w:r w:rsidRPr="00ED6B10">
        <w:rPr>
          <w:rFonts w:ascii="Times New Roman" w:hAnsi="Times New Roman" w:cs="Times New Roman"/>
          <w:noProof/>
          <w:color w:val="0000FF"/>
          <w:sz w:val="24"/>
          <w:szCs w:val="24"/>
        </w:rPr>
        <w:drawing>
          <wp:inline distT="0" distB="0" distL="0" distR="0">
            <wp:extent cx="9525" cy="9525"/>
            <wp:effectExtent l="0" t="0" r="0" b="0"/>
            <wp:docPr id="698" name="Picture 59" descr="previous hit">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revious hit">
                      <a:hlinkClick r:id="rId6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year</w:t>
      </w:r>
      <w:r w:rsidRPr="00ED6B10">
        <w:rPr>
          <w:rFonts w:ascii="Times New Roman" w:hAnsi="Times New Roman" w:cs="Times New Roman"/>
          <w:noProof/>
          <w:color w:val="0000FF"/>
          <w:sz w:val="24"/>
          <w:szCs w:val="24"/>
        </w:rPr>
        <w:drawing>
          <wp:inline distT="0" distB="0" distL="0" distR="0">
            <wp:extent cx="9525" cy="9525"/>
            <wp:effectExtent l="0" t="0" r="0" b="0"/>
            <wp:docPr id="699" name="Picture 60" descr="next hit">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ext hit">
                      <a:hlinkClick r:id="rId6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you have the option of undoing the conversion. This is a useful strategy if the investments have gone down in value so that if you were to do the conversion now, your taxes would be lower. This is a complicated calculation and we should meet to determine what your best options are.</w:t>
      </w:r>
    </w:p>
    <w:p w:rsidR="00243AD5" w:rsidRPr="00ED6B10" w:rsidRDefault="00243AD5" w:rsidP="00243AD5">
      <w:pPr>
        <w:rPr>
          <w:rFonts w:ascii="Times New Roman" w:hAnsi="Times New Roman" w:cs="Times New Roman"/>
          <w:sz w:val="24"/>
          <w:szCs w:val="24"/>
        </w:rPr>
      </w:pPr>
      <w:r w:rsidRPr="00ED6B10">
        <w:rPr>
          <w:rFonts w:ascii="Times New Roman" w:hAnsi="Times New Roman" w:cs="Times New Roman"/>
          <w:sz w:val="24"/>
          <w:szCs w:val="24"/>
        </w:rPr>
        <w:t xml:space="preserve">In addition, for 2011, if your </w:t>
      </w:r>
      <w:hyperlink r:id="rId65" w:tgtFrame="_top" w:history="1">
        <w:r w:rsidRPr="00ED6B10">
          <w:rPr>
            <w:rStyle w:val="Hyperlink"/>
            <w:rFonts w:ascii="Times New Roman" w:hAnsi="Times New Roman" w:cs="Times New Roman"/>
            <w:sz w:val="24"/>
            <w:szCs w:val="24"/>
          </w:rPr>
          <w:t>§401(k)</w:t>
        </w:r>
      </w:hyperlink>
      <w:r w:rsidRPr="00ED6B10">
        <w:rPr>
          <w:rFonts w:ascii="Times New Roman" w:hAnsi="Times New Roman" w:cs="Times New Roman"/>
          <w:sz w:val="24"/>
          <w:szCs w:val="24"/>
        </w:rPr>
        <w:t xml:space="preserve"> plan, </w:t>
      </w:r>
      <w:hyperlink r:id="rId66" w:tgtFrame="_top" w:history="1">
        <w:r w:rsidRPr="00ED6B10">
          <w:rPr>
            <w:rStyle w:val="Hyperlink"/>
            <w:rFonts w:ascii="Times New Roman" w:hAnsi="Times New Roman" w:cs="Times New Roman"/>
            <w:sz w:val="24"/>
            <w:szCs w:val="24"/>
          </w:rPr>
          <w:t>§403(b)</w:t>
        </w:r>
      </w:hyperlink>
      <w:r w:rsidRPr="00ED6B10">
        <w:rPr>
          <w:rFonts w:ascii="Times New Roman" w:hAnsi="Times New Roman" w:cs="Times New Roman"/>
          <w:sz w:val="24"/>
          <w:szCs w:val="24"/>
        </w:rPr>
        <w:t xml:space="preserve"> plan, or governmental </w:t>
      </w:r>
      <w:hyperlink r:id="rId67" w:tgtFrame="_top" w:history="1">
        <w:r w:rsidRPr="00ED6B10">
          <w:rPr>
            <w:rStyle w:val="Hyperlink"/>
            <w:rFonts w:ascii="Times New Roman" w:hAnsi="Times New Roman" w:cs="Times New Roman"/>
            <w:sz w:val="24"/>
            <w:szCs w:val="24"/>
          </w:rPr>
          <w:t>§457(b)</w:t>
        </w:r>
      </w:hyperlink>
      <w:r w:rsidRPr="00ED6B10">
        <w:rPr>
          <w:rFonts w:ascii="Times New Roman" w:hAnsi="Times New Roman" w:cs="Times New Roman"/>
          <w:sz w:val="24"/>
          <w:szCs w:val="24"/>
        </w:rPr>
        <w:t xml:space="preserve"> plan has a qualified designated Roth contribution program, a distribution to an employee (or a surviving spouse) from such account under the plan that is not a designated Roth account is permitted to be rolled over into a designated Roth account under the plan for the individual.</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lastRenderedPageBreak/>
        <w:t>401(k) Contribution</w:t>
      </w:r>
      <w:r w:rsidRPr="00ED6B10">
        <w:rPr>
          <w:rFonts w:ascii="Times New Roman" w:hAnsi="Times New Roman" w:cs="Times New Roman"/>
          <w:sz w:val="24"/>
          <w:szCs w:val="24"/>
        </w:rPr>
        <w:t xml:space="preserve">: The </w:t>
      </w:r>
      <w:hyperlink r:id="rId68" w:tgtFrame="_top" w:history="1">
        <w:r w:rsidRPr="00ED6B10">
          <w:rPr>
            <w:rStyle w:val="Hyperlink"/>
            <w:rFonts w:ascii="Times New Roman" w:hAnsi="Times New Roman" w:cs="Times New Roman"/>
            <w:sz w:val="24"/>
            <w:szCs w:val="24"/>
          </w:rPr>
          <w:t>§401(k)</w:t>
        </w:r>
      </w:hyperlink>
      <w:r w:rsidRPr="00ED6B10">
        <w:rPr>
          <w:rFonts w:ascii="Times New Roman" w:hAnsi="Times New Roman" w:cs="Times New Roman"/>
          <w:sz w:val="24"/>
          <w:szCs w:val="24"/>
        </w:rPr>
        <w:t xml:space="preserve"> elective deferral limit is $16,500 for 2011. If your </w:t>
      </w:r>
      <w:hyperlink r:id="rId69" w:tgtFrame="_top" w:history="1">
        <w:r w:rsidRPr="00ED6B10">
          <w:rPr>
            <w:rStyle w:val="Hyperlink"/>
            <w:rFonts w:ascii="Times New Roman" w:hAnsi="Times New Roman" w:cs="Times New Roman"/>
            <w:sz w:val="24"/>
            <w:szCs w:val="24"/>
          </w:rPr>
          <w:t>§401(k)</w:t>
        </w:r>
      </w:hyperlink>
      <w:r w:rsidRPr="00ED6B10">
        <w:rPr>
          <w:rFonts w:ascii="Times New Roman" w:hAnsi="Times New Roman" w:cs="Times New Roman"/>
          <w:sz w:val="24"/>
          <w:szCs w:val="24"/>
        </w:rPr>
        <w:t xml:space="preserve"> plan has been amended to allow for catch-up contributions for 2011 and you will be 50 years old by December 31, 2011, you may contribute an additional $5,500 to your </w:t>
      </w:r>
      <w:hyperlink r:id="rId70" w:tgtFrame="_top" w:history="1">
        <w:r w:rsidRPr="00ED6B10">
          <w:rPr>
            <w:rStyle w:val="Hyperlink"/>
            <w:rFonts w:ascii="Times New Roman" w:hAnsi="Times New Roman" w:cs="Times New Roman"/>
            <w:sz w:val="24"/>
            <w:szCs w:val="24"/>
          </w:rPr>
          <w:t>§401(k)</w:t>
        </w:r>
      </w:hyperlink>
      <w:r w:rsidRPr="00ED6B10">
        <w:rPr>
          <w:rFonts w:ascii="Times New Roman" w:hAnsi="Times New Roman" w:cs="Times New Roman"/>
          <w:sz w:val="24"/>
          <w:szCs w:val="24"/>
        </w:rPr>
        <w:t xml:space="preserve"> account, for a total maximum contribution of $22,000 ($16,500 in regular contributions plus $5,500 in catch-up contributions).</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SIMPLE Plan Contribution</w:t>
      </w:r>
      <w:r w:rsidRPr="00ED6B10">
        <w:rPr>
          <w:rFonts w:ascii="Times New Roman" w:hAnsi="Times New Roman" w:cs="Times New Roman"/>
          <w:sz w:val="24"/>
          <w:szCs w:val="24"/>
        </w:rPr>
        <w:t>: The SIMPLE plan deferral limit is $11,500 for 2011. If your SIMPLE plan has been amended to allow for catch-up contributions for 2011 and you will be 50 years old by December 31, 2011, you may contribute an additional $2,500.</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Catch-Up Contributions for Other Plans</w:t>
      </w:r>
      <w:r w:rsidRPr="00ED6B10">
        <w:rPr>
          <w:rFonts w:ascii="Times New Roman" w:hAnsi="Times New Roman" w:cs="Times New Roman"/>
          <w:sz w:val="24"/>
          <w:szCs w:val="24"/>
        </w:rPr>
        <w:t xml:space="preserve">: If you will be 50 years old by December 31, 2011, you may contribute an additional $5,500 to your </w:t>
      </w:r>
      <w:hyperlink r:id="rId71" w:tgtFrame="_top" w:history="1">
        <w:r w:rsidRPr="00ED6B10">
          <w:rPr>
            <w:rStyle w:val="Hyperlink"/>
            <w:rFonts w:ascii="Times New Roman" w:hAnsi="Times New Roman" w:cs="Times New Roman"/>
            <w:sz w:val="24"/>
            <w:szCs w:val="24"/>
          </w:rPr>
          <w:t>§403(b)</w:t>
        </w:r>
      </w:hyperlink>
      <w:r w:rsidRPr="00ED6B10">
        <w:rPr>
          <w:rFonts w:ascii="Times New Roman" w:hAnsi="Times New Roman" w:cs="Times New Roman"/>
          <w:sz w:val="24"/>
          <w:szCs w:val="24"/>
        </w:rPr>
        <w:t xml:space="preserve"> plan, SEP or eligible </w:t>
      </w:r>
      <w:hyperlink r:id="rId72" w:tgtFrame="_top" w:history="1">
        <w:r w:rsidRPr="00ED6B10">
          <w:rPr>
            <w:rStyle w:val="Hyperlink"/>
            <w:rFonts w:ascii="Times New Roman" w:hAnsi="Times New Roman" w:cs="Times New Roman"/>
            <w:sz w:val="24"/>
            <w:szCs w:val="24"/>
          </w:rPr>
          <w:t>§457</w:t>
        </w:r>
      </w:hyperlink>
      <w:r w:rsidRPr="00ED6B10">
        <w:rPr>
          <w:rFonts w:ascii="Times New Roman" w:hAnsi="Times New Roman" w:cs="Times New Roman"/>
          <w:sz w:val="24"/>
          <w:szCs w:val="24"/>
        </w:rPr>
        <w:t xml:space="preserve"> government plan.</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Saver's Credit</w:t>
      </w:r>
      <w:r w:rsidRPr="00ED6B10">
        <w:rPr>
          <w:rFonts w:ascii="Times New Roman" w:hAnsi="Times New Roman" w:cs="Times New Roman"/>
          <w:sz w:val="24"/>
          <w:szCs w:val="24"/>
        </w:rPr>
        <w:t xml:space="preserve">: A nonrefundable </w:t>
      </w:r>
      <w:bookmarkStart w:id="23" w:name="ctx40"/>
      <w:bookmarkEnd w:id="23"/>
      <w:r w:rsidRPr="00ED6B10">
        <w:rPr>
          <w:rFonts w:ascii="Times New Roman" w:hAnsi="Times New Roman" w:cs="Times New Roman"/>
          <w:noProof/>
          <w:color w:val="0000FF"/>
          <w:sz w:val="24"/>
          <w:szCs w:val="24"/>
        </w:rPr>
        <w:drawing>
          <wp:inline distT="0" distB="0" distL="0" distR="0">
            <wp:extent cx="9525" cy="9525"/>
            <wp:effectExtent l="0" t="0" r="0" b="0"/>
            <wp:docPr id="700" name="Picture 61" descr="previous hit">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revious hit">
                      <a:hlinkClick r:id="rId7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701" name="Picture 62" descr="next hit">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ext hit">
                      <a:hlinkClick r:id="rId7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credit is available based on the qualified retirement savings contributions to an employer plan made by an eligible individual. For 2011, only taxpayers filing joint returns with AGI of $56,500 or less, head of household returns with AGI of $42,375 or less, or single returns (or separate returns filed by married taxpayers) with AGI of $28,250 or less, are eligible for the credit. The amount of the credit is equal to the applicable percentage (10% to 50%, based on filing status and AGI) of qualified retirement savings contributions up to $2,000.</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Required Minimum Distributions</w:t>
      </w:r>
      <w:r w:rsidRPr="00ED6B10">
        <w:rPr>
          <w:rFonts w:ascii="Times New Roman" w:hAnsi="Times New Roman" w:cs="Times New Roman"/>
          <w:sz w:val="24"/>
          <w:szCs w:val="24"/>
        </w:rPr>
        <w:t>: For 2011, taxpayers must take their required minimum distribution from IRAs or defined contribution plans (</w:t>
      </w:r>
      <w:hyperlink r:id="rId75" w:tgtFrame="_top" w:history="1">
        <w:r w:rsidRPr="00ED6B10">
          <w:rPr>
            <w:rStyle w:val="Hyperlink"/>
            <w:rFonts w:ascii="Times New Roman" w:hAnsi="Times New Roman" w:cs="Times New Roman"/>
            <w:sz w:val="24"/>
            <w:szCs w:val="24"/>
          </w:rPr>
          <w:t>§401(k)</w:t>
        </w:r>
      </w:hyperlink>
      <w:r w:rsidRPr="00ED6B10">
        <w:rPr>
          <w:rFonts w:ascii="Times New Roman" w:hAnsi="Times New Roman" w:cs="Times New Roman"/>
          <w:sz w:val="24"/>
          <w:szCs w:val="24"/>
        </w:rPr>
        <w:t xml:space="preserve"> plans, </w:t>
      </w:r>
      <w:hyperlink r:id="rId76" w:tgtFrame="_top" w:history="1">
        <w:r w:rsidRPr="00ED6B10">
          <w:rPr>
            <w:rStyle w:val="Hyperlink"/>
            <w:rFonts w:ascii="Times New Roman" w:hAnsi="Times New Roman" w:cs="Times New Roman"/>
            <w:sz w:val="24"/>
            <w:szCs w:val="24"/>
          </w:rPr>
          <w:t>§403(a)</w:t>
        </w:r>
      </w:hyperlink>
      <w:r w:rsidRPr="00ED6B10">
        <w:rPr>
          <w:rFonts w:ascii="Times New Roman" w:hAnsi="Times New Roman" w:cs="Times New Roman"/>
          <w:sz w:val="24"/>
          <w:szCs w:val="24"/>
        </w:rPr>
        <w:t xml:space="preserve"> and </w:t>
      </w:r>
      <w:hyperlink r:id="rId77" w:tgtFrame="_top" w:history="1">
        <w:r w:rsidRPr="00ED6B10">
          <w:rPr>
            <w:rStyle w:val="Hyperlink"/>
            <w:rFonts w:ascii="Times New Roman" w:hAnsi="Times New Roman" w:cs="Times New Roman"/>
            <w:sz w:val="24"/>
            <w:szCs w:val="24"/>
          </w:rPr>
          <w:t>(b)</w:t>
        </w:r>
      </w:hyperlink>
      <w:r w:rsidRPr="00ED6B10">
        <w:rPr>
          <w:rFonts w:ascii="Times New Roman" w:hAnsi="Times New Roman" w:cs="Times New Roman"/>
          <w:sz w:val="24"/>
          <w:szCs w:val="24"/>
        </w:rPr>
        <w:t xml:space="preserve"> annuity plans, and </w:t>
      </w:r>
      <w:hyperlink r:id="rId78" w:tgtFrame="_top" w:history="1">
        <w:r w:rsidRPr="00ED6B10">
          <w:rPr>
            <w:rStyle w:val="Hyperlink"/>
            <w:rFonts w:ascii="Times New Roman" w:hAnsi="Times New Roman" w:cs="Times New Roman"/>
            <w:sz w:val="24"/>
            <w:szCs w:val="24"/>
          </w:rPr>
          <w:t>§457(b)</w:t>
        </w:r>
      </w:hyperlink>
      <w:r w:rsidRPr="00ED6B10">
        <w:rPr>
          <w:rFonts w:ascii="Times New Roman" w:hAnsi="Times New Roman" w:cs="Times New Roman"/>
          <w:sz w:val="24"/>
          <w:szCs w:val="24"/>
        </w:rPr>
        <w:t xml:space="preserve"> plans that are maintained by a governmental employer).</w:t>
      </w:r>
    </w:p>
    <w:p w:rsidR="00243AD5" w:rsidRPr="00ED6B10" w:rsidRDefault="00243AD5" w:rsidP="00243AD5">
      <w:pPr>
        <w:rPr>
          <w:rFonts w:ascii="Times New Roman" w:hAnsi="Times New Roman" w:cs="Times New Roman"/>
          <w:sz w:val="24"/>
          <w:szCs w:val="24"/>
        </w:rPr>
      </w:pPr>
      <w:r w:rsidRPr="00ED6B10">
        <w:rPr>
          <w:rStyle w:val="emphi"/>
          <w:rFonts w:ascii="Times New Roman" w:hAnsi="Times New Roman" w:cs="Times New Roman"/>
          <w:sz w:val="24"/>
          <w:szCs w:val="24"/>
        </w:rPr>
        <w:t>Maximize Retirement Savings</w:t>
      </w:r>
      <w:r w:rsidRPr="00ED6B10">
        <w:rPr>
          <w:rFonts w:ascii="Times New Roman" w:hAnsi="Times New Roman" w:cs="Times New Roman"/>
          <w:sz w:val="24"/>
          <w:szCs w:val="24"/>
        </w:rPr>
        <w:t xml:space="preserve">: In many cases, employers will require you to set your 2012 retirement contribution levels before January 2012. If you did not elect the maximum 401(k) contribution for 2011, you can increase your amount for the remainder of 2011 to lower your AGI in order to take advantage of some of the </w:t>
      </w:r>
      <w:bookmarkStart w:id="24" w:name="ctx41"/>
      <w:bookmarkEnd w:id="24"/>
      <w:r w:rsidRPr="00ED6B10">
        <w:rPr>
          <w:rFonts w:ascii="Times New Roman" w:hAnsi="Times New Roman" w:cs="Times New Roman"/>
          <w:noProof/>
          <w:color w:val="0000FF"/>
          <w:sz w:val="24"/>
          <w:szCs w:val="24"/>
        </w:rPr>
        <w:drawing>
          <wp:inline distT="0" distB="0" distL="0" distR="0">
            <wp:extent cx="9525" cy="9525"/>
            <wp:effectExtent l="0" t="0" r="0" b="0"/>
            <wp:docPr id="702" name="Picture 63" descr="previous hit">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revious hit">
                      <a:hlinkClick r:id="rId7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703" name="Picture 64" descr="next hit">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ext hit">
                      <a:hlinkClick r:id="rId8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 xml:space="preserve"> breaks described above. In addition, maximizing your contribution is generally a good </w:t>
      </w:r>
      <w:bookmarkStart w:id="25" w:name="ctx42"/>
      <w:bookmarkEnd w:id="25"/>
      <w:r w:rsidRPr="00ED6B10">
        <w:rPr>
          <w:rFonts w:ascii="Times New Roman" w:hAnsi="Times New Roman" w:cs="Times New Roman"/>
          <w:noProof/>
          <w:color w:val="0000FF"/>
          <w:sz w:val="24"/>
          <w:szCs w:val="24"/>
        </w:rPr>
        <w:drawing>
          <wp:inline distT="0" distB="0" distL="0" distR="0">
            <wp:extent cx="9525" cy="9525"/>
            <wp:effectExtent l="0" t="0" r="0" b="0"/>
            <wp:docPr id="704" name="Picture 65" descr="previous hit">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revious hit">
                      <a:hlinkClick r:id="rId8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Style w:val="displayhltext"/>
          <w:rFonts w:ascii="Times New Roman" w:hAnsi="Times New Roman" w:cs="Times New Roman"/>
          <w:sz w:val="24"/>
          <w:szCs w:val="24"/>
        </w:rPr>
        <w:t>tax</w:t>
      </w:r>
      <w:r w:rsidRPr="00ED6B10">
        <w:rPr>
          <w:rFonts w:ascii="Times New Roman" w:hAnsi="Times New Roman" w:cs="Times New Roman"/>
          <w:noProof/>
          <w:color w:val="0000FF"/>
          <w:sz w:val="24"/>
          <w:szCs w:val="24"/>
        </w:rPr>
        <w:drawing>
          <wp:inline distT="0" distB="0" distL="0" distR="0">
            <wp:extent cx="9525" cy="9525"/>
            <wp:effectExtent l="0" t="0" r="0" b="0"/>
            <wp:docPr id="705" name="Picture 66" descr="next hit">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ext hit">
                      <a:hlinkClick r:id="rId8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D6B10">
        <w:rPr>
          <w:rFonts w:ascii="Times New Roman" w:hAnsi="Times New Roman" w:cs="Times New Roman"/>
          <w:sz w:val="24"/>
          <w:szCs w:val="24"/>
        </w:rPr>
        <w:t>-saving move.</w:t>
      </w:r>
    </w:p>
    <w:p w:rsidR="00243AD5" w:rsidRPr="003A1979" w:rsidRDefault="00243AD5" w:rsidP="00243AD5">
      <w:pPr>
        <w:rPr>
          <w:rFonts w:ascii="Times New Roman" w:hAnsi="Times New Roman" w:cs="Times New Roman"/>
          <w:b/>
          <w:sz w:val="24"/>
          <w:szCs w:val="24"/>
          <w:u w:val="single"/>
        </w:rPr>
      </w:pPr>
      <w:bookmarkStart w:id="26" w:name="DeFINCOME"/>
      <w:r w:rsidRPr="003A1979">
        <w:rPr>
          <w:rFonts w:ascii="Times New Roman" w:hAnsi="Times New Roman" w:cs="Times New Roman"/>
          <w:b/>
          <w:sz w:val="24"/>
          <w:szCs w:val="24"/>
          <w:u w:val="single"/>
        </w:rPr>
        <w:t>Deferring Income to 2012</w:t>
      </w:r>
    </w:p>
    <w:bookmarkEnd w:id="26"/>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If you expect your AGI to be higher in 2011 than in 2012, or if you anticipate being in the same or a higher </w:t>
      </w:r>
      <w:bookmarkStart w:id="27" w:name="ctx43"/>
      <w:bookmarkEnd w:id="27"/>
      <w:r w:rsidRPr="003A1979">
        <w:rPr>
          <w:rFonts w:ascii="Times New Roman" w:hAnsi="Times New Roman" w:cs="Times New Roman"/>
          <w:noProof/>
          <w:color w:val="0000FF"/>
          <w:sz w:val="24"/>
          <w:szCs w:val="24"/>
        </w:rPr>
        <w:drawing>
          <wp:inline distT="0" distB="0" distL="0" distR="0">
            <wp:extent cx="9525" cy="9525"/>
            <wp:effectExtent l="0" t="0" r="0" b="0"/>
            <wp:docPr id="706" name="Picture 67" descr="previous hit">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revious hit">
                      <a:hlinkClick r:id="rId8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07" name="Picture 68" descr="next hit">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xt hit">
                      <a:hlinkClick r:id="rId8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bracket in 2011, you may benefit by deferring income into 2012. Deferring </w:t>
      </w:r>
      <w:r w:rsidRPr="003A1979">
        <w:rPr>
          <w:rFonts w:ascii="Times New Roman" w:hAnsi="Times New Roman" w:cs="Times New Roman"/>
          <w:sz w:val="24"/>
          <w:szCs w:val="24"/>
        </w:rPr>
        <w:lastRenderedPageBreak/>
        <w:t>income will be advantageous so long as the deferral does not bump your income to the next bracket. Deferring income could be disadvantageous, however, if your deferred income is subject to §</w:t>
      </w:r>
      <w:hyperlink r:id="rId85" w:tgtFrame="_top" w:history="1">
        <w:r w:rsidRPr="003A1979">
          <w:rPr>
            <w:rStyle w:val="Hyperlink"/>
            <w:rFonts w:ascii="Times New Roman" w:hAnsi="Times New Roman" w:cs="Times New Roman"/>
            <w:sz w:val="24"/>
            <w:szCs w:val="24"/>
          </w:rPr>
          <w:t>409A</w:t>
        </w:r>
      </w:hyperlink>
      <w:r w:rsidRPr="003A1979">
        <w:rPr>
          <w:rFonts w:ascii="Times New Roman" w:hAnsi="Times New Roman" w:cs="Times New Roman"/>
          <w:sz w:val="24"/>
          <w:szCs w:val="24"/>
        </w:rPr>
        <w:t xml:space="preserve">, thus making the income includible in gross income and subject to additional </w:t>
      </w:r>
      <w:bookmarkStart w:id="28" w:name="ctx44"/>
      <w:bookmarkEnd w:id="28"/>
      <w:r w:rsidRPr="003A1979">
        <w:rPr>
          <w:rFonts w:ascii="Times New Roman" w:hAnsi="Times New Roman" w:cs="Times New Roman"/>
          <w:noProof/>
          <w:color w:val="0000FF"/>
          <w:sz w:val="24"/>
          <w:szCs w:val="24"/>
        </w:rPr>
        <w:drawing>
          <wp:inline distT="0" distB="0" distL="0" distR="0">
            <wp:extent cx="9525" cy="9525"/>
            <wp:effectExtent l="0" t="0" r="0" b="0"/>
            <wp:docPr id="708" name="Picture 69" descr="previous hit">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revious hit">
                      <a:hlinkClick r:id="rId8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09" name="Picture 70" descr="next hit">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next hit">
                      <a:hlinkClick r:id="rId8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Some ways to defer income include:</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Delay Billing</w:t>
      </w:r>
      <w:r w:rsidRPr="003A1979">
        <w:rPr>
          <w:rFonts w:ascii="Times New Roman" w:hAnsi="Times New Roman" w:cs="Times New Roman"/>
          <w:sz w:val="24"/>
          <w:szCs w:val="24"/>
        </w:rPr>
        <w:t xml:space="preserve">: If you are self-employed and on the cash-basis, delay </w:t>
      </w:r>
      <w:bookmarkStart w:id="29" w:name="ctx45"/>
      <w:bookmarkEnd w:id="29"/>
      <w:r w:rsidRPr="003A1979">
        <w:rPr>
          <w:rFonts w:ascii="Times New Roman" w:hAnsi="Times New Roman" w:cs="Times New Roman"/>
          <w:noProof/>
          <w:color w:val="0000FF"/>
          <w:sz w:val="24"/>
          <w:szCs w:val="24"/>
        </w:rPr>
        <w:drawing>
          <wp:inline distT="0" distB="0" distL="0" distR="0">
            <wp:extent cx="9525" cy="9525"/>
            <wp:effectExtent l="0" t="0" r="0" b="0"/>
            <wp:docPr id="710" name="Picture 71" descr="previous hit">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revious hit">
                      <a:hlinkClick r:id="rId8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11" name="Picture 72" descr="next hit">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next hit">
                      <a:hlinkClick r:id="rId8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bookmarkStart w:id="30" w:name="ctx46"/>
      <w:bookmarkEnd w:id="30"/>
      <w:r w:rsidRPr="003A1979">
        <w:rPr>
          <w:rFonts w:ascii="Times New Roman" w:hAnsi="Times New Roman" w:cs="Times New Roman"/>
          <w:noProof/>
          <w:color w:val="0000FF"/>
          <w:sz w:val="24"/>
          <w:szCs w:val="24"/>
        </w:rPr>
        <w:drawing>
          <wp:inline distT="0" distB="0" distL="0" distR="0">
            <wp:extent cx="9525" cy="9525"/>
            <wp:effectExtent l="0" t="0" r="0" b="0"/>
            <wp:docPr id="712" name="Picture 73" descr="previous hit">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revious hit">
                      <a:hlinkClick r:id="rId9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13" name="Picture 74" descr="next hit">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ext hit">
                      <a:hlinkClick r:id="rId9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billing to clients so that payments will not be received until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Interest and Dividends</w:t>
      </w:r>
      <w:r w:rsidRPr="003A1979">
        <w:rPr>
          <w:rFonts w:ascii="Times New Roman" w:hAnsi="Times New Roman" w:cs="Times New Roman"/>
          <w:sz w:val="24"/>
          <w:szCs w:val="24"/>
        </w:rPr>
        <w:t xml:space="preserve">: Interest income earned on Treasury securities and bank certificates of deposit with maturities of one </w:t>
      </w:r>
      <w:bookmarkStart w:id="31" w:name="ctx47"/>
      <w:bookmarkEnd w:id="31"/>
      <w:r w:rsidRPr="003A1979">
        <w:rPr>
          <w:rFonts w:ascii="Times New Roman" w:hAnsi="Times New Roman" w:cs="Times New Roman"/>
          <w:noProof/>
          <w:color w:val="0000FF"/>
          <w:sz w:val="24"/>
          <w:szCs w:val="24"/>
        </w:rPr>
        <w:drawing>
          <wp:inline distT="0" distB="0" distL="0" distR="0">
            <wp:extent cx="9525" cy="9525"/>
            <wp:effectExtent l="0" t="0" r="0" b="0"/>
            <wp:docPr id="714" name="Picture 75" descr="previous hit">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revious hit">
                      <a:hlinkClick r:id="rId9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15" name="Picture 76" descr="next hit">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ext hit">
                      <a:hlinkClick r:id="rId9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or less is not includible in income until received. To defer interest income, consider buying short-term bonds or certificates that will not mature until next </w:t>
      </w:r>
      <w:bookmarkStart w:id="32" w:name="ctx48"/>
      <w:bookmarkEnd w:id="32"/>
      <w:r w:rsidRPr="003A1979">
        <w:rPr>
          <w:rFonts w:ascii="Times New Roman" w:hAnsi="Times New Roman" w:cs="Times New Roman"/>
          <w:noProof/>
          <w:color w:val="0000FF"/>
          <w:sz w:val="24"/>
          <w:szCs w:val="24"/>
        </w:rPr>
        <w:drawing>
          <wp:inline distT="0" distB="0" distL="0" distR="0">
            <wp:extent cx="9525" cy="9525"/>
            <wp:effectExtent l="0" t="0" r="0" b="0"/>
            <wp:docPr id="716" name="Picture 77" descr="previous hit">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revious hit">
                      <a:hlinkClick r:id="rId9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17" name="Picture 78" descr="next hit">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ext hit">
                      <a:hlinkClick r:id="rId9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If you have control as to when dividends are paid, arrange to have them paid to you after the </w:t>
      </w:r>
      <w:bookmarkStart w:id="33" w:name="ctx49"/>
      <w:bookmarkEnd w:id="33"/>
      <w:r w:rsidRPr="003A1979">
        <w:rPr>
          <w:rFonts w:ascii="Times New Roman" w:hAnsi="Times New Roman" w:cs="Times New Roman"/>
          <w:noProof/>
          <w:color w:val="0000FF"/>
          <w:sz w:val="24"/>
          <w:szCs w:val="24"/>
        </w:rPr>
        <w:drawing>
          <wp:inline distT="0" distB="0" distL="0" distR="0">
            <wp:extent cx="9525" cy="9525"/>
            <wp:effectExtent l="0" t="0" r="0" b="0"/>
            <wp:docPr id="718" name="Picture 79" descr="previous hit">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revious hit">
                      <a:hlinkClick r:id="rId9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19" name="Picture 80" descr="next hit">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xt hit">
                      <a:hlinkClick r:id="rId9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w:t>
      </w:r>
      <w:bookmarkStart w:id="34" w:name="ctx50"/>
      <w:bookmarkEnd w:id="34"/>
      <w:r w:rsidRPr="003A1979">
        <w:rPr>
          <w:rFonts w:ascii="Times New Roman" w:hAnsi="Times New Roman" w:cs="Times New Roman"/>
          <w:noProof/>
          <w:color w:val="0000FF"/>
          <w:sz w:val="24"/>
          <w:szCs w:val="24"/>
        </w:rPr>
        <w:drawing>
          <wp:inline distT="0" distB="0" distL="0" distR="0">
            <wp:extent cx="9525" cy="9525"/>
            <wp:effectExtent l="0" t="0" r="0" b="0"/>
            <wp:docPr id="720" name="Picture 81" descr="previous hit">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revious hit">
                      <a:hlinkClick r:id="rId9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21" name="Picture 82" descr="next hit">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ext hit">
                      <a:hlinkClick r:id="rId9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p>
    <w:p w:rsidR="00243AD5" w:rsidRPr="003A1979" w:rsidRDefault="00243AD5" w:rsidP="00243AD5">
      <w:pPr>
        <w:rPr>
          <w:rFonts w:ascii="Times New Roman" w:hAnsi="Times New Roman" w:cs="Times New Roman"/>
          <w:b/>
          <w:sz w:val="24"/>
          <w:szCs w:val="24"/>
          <w:u w:val="single"/>
        </w:rPr>
      </w:pPr>
      <w:bookmarkStart w:id="35" w:name="AccelIncome"/>
      <w:r w:rsidRPr="003A1979">
        <w:rPr>
          <w:rFonts w:ascii="Times New Roman" w:hAnsi="Times New Roman" w:cs="Times New Roman"/>
          <w:b/>
          <w:sz w:val="24"/>
          <w:szCs w:val="24"/>
          <w:u w:val="single"/>
        </w:rPr>
        <w:t>Accelerating Income into 2011</w:t>
      </w:r>
    </w:p>
    <w:bookmarkEnd w:id="35"/>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In limited circumstances, you may benefit by accelerating income into 2011. For example, you may anticipate being in a higher </w:t>
      </w:r>
      <w:bookmarkStart w:id="36" w:name="ctx51"/>
      <w:bookmarkEnd w:id="36"/>
      <w:r w:rsidRPr="003A1979">
        <w:rPr>
          <w:rFonts w:ascii="Times New Roman" w:hAnsi="Times New Roman" w:cs="Times New Roman"/>
          <w:noProof/>
          <w:color w:val="0000FF"/>
          <w:sz w:val="24"/>
          <w:szCs w:val="24"/>
        </w:rPr>
        <w:drawing>
          <wp:inline distT="0" distB="0" distL="0" distR="0">
            <wp:extent cx="9525" cy="9525"/>
            <wp:effectExtent l="0" t="0" r="0" b="0"/>
            <wp:docPr id="722" name="Picture 83" descr="previous hit">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revious hit">
                      <a:hlinkClick r:id="rId10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23" name="Picture 84" descr="next hit">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next hit">
                      <a:hlinkClick r:id="rId10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bracket in 2012, or perhaps you will need additional income in order to take advantage of an offsetting deduction or credit that will not be available to you in future </w:t>
      </w:r>
      <w:bookmarkStart w:id="37" w:name="ctx52"/>
      <w:bookmarkEnd w:id="37"/>
      <w:r w:rsidRPr="003A1979">
        <w:rPr>
          <w:rFonts w:ascii="Times New Roman" w:hAnsi="Times New Roman" w:cs="Times New Roman"/>
          <w:noProof/>
          <w:color w:val="0000FF"/>
          <w:sz w:val="24"/>
          <w:szCs w:val="24"/>
        </w:rPr>
        <w:drawing>
          <wp:inline distT="0" distB="0" distL="0" distR="0">
            <wp:extent cx="9525" cy="9525"/>
            <wp:effectExtent l="0" t="0" r="0" b="0"/>
            <wp:docPr id="724" name="Picture 85" descr="previous hit">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revious hit">
                      <a:hlinkClick r:id="rId10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25" name="Picture 86" descr="next hit">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ext hit">
                      <a:hlinkClick r:id="rId10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years. Note, however, that accelerating income into 2011 will be disadvantageous if you expect to be in the same or lower </w:t>
      </w:r>
      <w:bookmarkStart w:id="38" w:name="ctx53"/>
      <w:bookmarkEnd w:id="38"/>
      <w:r w:rsidRPr="003A1979">
        <w:rPr>
          <w:rFonts w:ascii="Times New Roman" w:hAnsi="Times New Roman" w:cs="Times New Roman"/>
          <w:noProof/>
          <w:color w:val="0000FF"/>
          <w:sz w:val="24"/>
          <w:szCs w:val="24"/>
        </w:rPr>
        <w:drawing>
          <wp:inline distT="0" distB="0" distL="0" distR="0">
            <wp:extent cx="9525" cy="9525"/>
            <wp:effectExtent l="0" t="0" r="0" b="0"/>
            <wp:docPr id="726" name="Picture 87" descr="previous hit">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revious hit">
                      <a:hlinkClick r:id="rId10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27" name="Picture 88" descr="next hit">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ext hit">
                      <a:hlinkClick r:id="rId10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bracket for 2012. In any event, before you decide to implement this strategy, we should “crunch the numbers.”</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If accelerating income will be beneficial, here are some ways to accomplish this: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Accelerate Collection of Accounts Receivable</w:t>
      </w:r>
      <w:r w:rsidRPr="003A1979">
        <w:rPr>
          <w:rFonts w:ascii="Times New Roman" w:hAnsi="Times New Roman" w:cs="Times New Roman"/>
          <w:sz w:val="24"/>
          <w:szCs w:val="24"/>
        </w:rPr>
        <w:t xml:space="preserve">: If you are self-employed and report income and expenses on a cash basis, issue bills and attempt collection before the </w:t>
      </w:r>
      <w:bookmarkStart w:id="39" w:name="ctx54"/>
      <w:bookmarkEnd w:id="39"/>
      <w:r w:rsidRPr="003A1979">
        <w:rPr>
          <w:rFonts w:ascii="Times New Roman" w:hAnsi="Times New Roman" w:cs="Times New Roman"/>
          <w:noProof/>
          <w:color w:val="0000FF"/>
          <w:sz w:val="24"/>
          <w:szCs w:val="24"/>
        </w:rPr>
        <w:drawing>
          <wp:inline distT="0" distB="0" distL="0" distR="0">
            <wp:extent cx="9525" cy="9525"/>
            <wp:effectExtent l="0" t="0" r="0" b="0"/>
            <wp:docPr id="728" name="Picture 89" descr="previous hit">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revious hit">
                      <a:hlinkClick r:id="rId10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29" name="Picture 90" descr="next hit">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ext hit">
                      <a:hlinkClick r:id="rId10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Also see if some of your clients or customers might be willing to pay for January 2012 goods or services in advance. Any income received using these steps will shift income from 2012 to 2011.</w:t>
      </w:r>
    </w:p>
    <w:p w:rsidR="00243AD5" w:rsidRPr="003A1979" w:rsidRDefault="00243AD5" w:rsidP="00243AD5">
      <w:pPr>
        <w:rPr>
          <w:rFonts w:ascii="Times New Roman" w:hAnsi="Times New Roman" w:cs="Times New Roman"/>
          <w:sz w:val="24"/>
          <w:szCs w:val="24"/>
        </w:rPr>
      </w:pPr>
      <w:bookmarkStart w:id="40" w:name="ctx55"/>
      <w:bookmarkEnd w:id="40"/>
      <w:r w:rsidRPr="003A1979">
        <w:rPr>
          <w:rFonts w:ascii="Times New Roman" w:hAnsi="Times New Roman" w:cs="Times New Roman"/>
          <w:noProof/>
          <w:color w:val="0000FF"/>
          <w:sz w:val="24"/>
          <w:szCs w:val="24"/>
        </w:rPr>
        <w:drawing>
          <wp:inline distT="0" distB="0" distL="0" distR="0">
            <wp:extent cx="9525" cy="9525"/>
            <wp:effectExtent l="0" t="0" r="0" b="0"/>
            <wp:docPr id="730" name="Picture 91" descr="previous hit">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revious hit">
                      <a:hlinkClick r:id="rId10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31" name="Picture 92" descr="next hit">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next hit">
                      <a:hlinkClick r:id="rId10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w:t>
      </w:r>
      <w:bookmarkStart w:id="41" w:name="ctx56"/>
      <w:bookmarkEnd w:id="41"/>
      <w:r w:rsidRPr="003A1979">
        <w:rPr>
          <w:rFonts w:ascii="Times New Roman" w:hAnsi="Times New Roman" w:cs="Times New Roman"/>
          <w:noProof/>
          <w:color w:val="0000FF"/>
          <w:sz w:val="24"/>
          <w:szCs w:val="24"/>
        </w:rPr>
        <w:drawing>
          <wp:inline distT="0" distB="0" distL="0" distR="0">
            <wp:extent cx="9525" cy="9525"/>
            <wp:effectExtent l="0" t="0" r="0" b="0"/>
            <wp:docPr id="732" name="Picture 93" descr="previous hit">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revious hit">
                      <a:hlinkClick r:id="rId11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33" name="Picture 94" descr="next hit">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ext hit">
                      <a:hlinkClick r:id="rId11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 xml:space="preserve"> Bonuses</w:t>
      </w:r>
      <w:r w:rsidRPr="003A1979">
        <w:rPr>
          <w:rFonts w:ascii="Times New Roman" w:hAnsi="Times New Roman" w:cs="Times New Roman"/>
          <w:sz w:val="24"/>
          <w:szCs w:val="24"/>
        </w:rPr>
        <w:t xml:space="preserve">: If your employer generally pays </w:t>
      </w:r>
      <w:bookmarkStart w:id="42" w:name="ctx57"/>
      <w:bookmarkEnd w:id="42"/>
      <w:r w:rsidRPr="003A1979">
        <w:rPr>
          <w:rFonts w:ascii="Times New Roman" w:hAnsi="Times New Roman" w:cs="Times New Roman"/>
          <w:noProof/>
          <w:color w:val="0000FF"/>
          <w:sz w:val="24"/>
          <w:szCs w:val="24"/>
        </w:rPr>
        <w:drawing>
          <wp:inline distT="0" distB="0" distL="0" distR="0">
            <wp:extent cx="9525" cy="9525"/>
            <wp:effectExtent l="0" t="0" r="0" b="0"/>
            <wp:docPr id="734" name="Picture 95" descr="previous hit">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revious hit">
                      <a:hlinkClick r:id="rId11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35" name="Picture 96" descr="next hit">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next hit">
                      <a:hlinkClick r:id="rId11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bookmarkStart w:id="43" w:name="ctx58"/>
      <w:bookmarkEnd w:id="43"/>
      <w:r w:rsidRPr="003A1979">
        <w:rPr>
          <w:rFonts w:ascii="Times New Roman" w:hAnsi="Times New Roman" w:cs="Times New Roman"/>
          <w:noProof/>
          <w:color w:val="0000FF"/>
          <w:sz w:val="24"/>
          <w:szCs w:val="24"/>
        </w:rPr>
        <w:drawing>
          <wp:inline distT="0" distB="0" distL="0" distR="0">
            <wp:extent cx="9525" cy="9525"/>
            <wp:effectExtent l="0" t="0" r="0" b="0"/>
            <wp:docPr id="736" name="Picture 97" descr="previous hit">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revious hit">
                      <a:hlinkClick r:id="rId11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37" name="Picture 98" descr="next hit">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ext hit">
                      <a:hlinkClick r:id="rId11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bonuses after the </w:t>
      </w:r>
      <w:bookmarkStart w:id="44" w:name="ctx59"/>
      <w:bookmarkEnd w:id="44"/>
      <w:r w:rsidRPr="003A1979">
        <w:rPr>
          <w:rFonts w:ascii="Times New Roman" w:hAnsi="Times New Roman" w:cs="Times New Roman"/>
          <w:noProof/>
          <w:color w:val="0000FF"/>
          <w:sz w:val="24"/>
          <w:szCs w:val="24"/>
        </w:rPr>
        <w:drawing>
          <wp:inline distT="0" distB="0" distL="0" distR="0">
            <wp:extent cx="9525" cy="9525"/>
            <wp:effectExtent l="0" t="0" r="0" b="0"/>
            <wp:docPr id="738" name="Picture 99" descr="previous hit">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revious hit">
                      <a:hlinkClick r:id="rId11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39" name="Picture 100" descr="next hit">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next hit">
                      <a:hlinkClick r:id="rId11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current </w:t>
      </w:r>
      <w:bookmarkStart w:id="45" w:name="ctx60"/>
      <w:bookmarkEnd w:id="45"/>
      <w:r w:rsidRPr="003A1979">
        <w:rPr>
          <w:rFonts w:ascii="Times New Roman" w:hAnsi="Times New Roman" w:cs="Times New Roman"/>
          <w:noProof/>
          <w:color w:val="0000FF"/>
          <w:sz w:val="24"/>
          <w:szCs w:val="24"/>
        </w:rPr>
        <w:drawing>
          <wp:inline distT="0" distB="0" distL="0" distR="0">
            <wp:extent cx="9525" cy="9525"/>
            <wp:effectExtent l="0" t="0" r="0" b="0"/>
            <wp:docPr id="740" name="Picture 101" descr="previous hit">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revious hit">
                      <a:hlinkClick r:id="rId11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41" name="Picture 102" descr="next hit">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ext hit">
                      <a:hlinkClick r:id="rId11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ask to have your bonus paid to you before the beginning of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Retirement Plan Distributions</w:t>
      </w:r>
      <w:r w:rsidRPr="003A1979">
        <w:rPr>
          <w:rFonts w:ascii="Times New Roman" w:hAnsi="Times New Roman" w:cs="Times New Roman"/>
          <w:sz w:val="24"/>
          <w:szCs w:val="24"/>
        </w:rPr>
        <w:t>: If you are over age 59</w:t>
      </w:r>
      <w:r w:rsidRPr="003A1979">
        <w:rPr>
          <w:rFonts w:ascii="Times New Roman" w:hAnsi="Times New Roman" w:cs="Times New Roman"/>
          <w:sz w:val="24"/>
          <w:szCs w:val="24"/>
          <w:vertAlign w:val="superscript"/>
        </w:rPr>
        <w:t>1</w:t>
      </w:r>
      <w:r w:rsidRPr="003A1979">
        <w:rPr>
          <w:rFonts w:ascii="Times New Roman" w:hAnsi="Times New Roman" w:cs="Times New Roman"/>
          <w:sz w:val="24"/>
          <w:szCs w:val="24"/>
        </w:rPr>
        <w:t>/</w:t>
      </w:r>
      <w:r w:rsidRPr="003A1979">
        <w:rPr>
          <w:rFonts w:ascii="Times New Roman" w:hAnsi="Times New Roman" w:cs="Times New Roman"/>
          <w:sz w:val="24"/>
          <w:szCs w:val="24"/>
          <w:vertAlign w:val="subscript"/>
        </w:rPr>
        <w:t>2</w:t>
      </w:r>
      <w:r w:rsidRPr="003A1979">
        <w:rPr>
          <w:rFonts w:ascii="Times New Roman" w:hAnsi="Times New Roman" w:cs="Times New Roman"/>
          <w:sz w:val="24"/>
          <w:szCs w:val="24"/>
        </w:rPr>
        <w:t xml:space="preserve"> and you participate in an employer retirement plan or have an IRA, consider making any taxable withdrawals before 2012.</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lastRenderedPageBreak/>
        <w:t>You may also want to consider making a Roth IRA rollover distribution, as discussed above.</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Deduction </w:t>
      </w:r>
      <w:bookmarkStart w:id="46" w:name="ctx61"/>
      <w:bookmarkEnd w:id="46"/>
      <w:r w:rsidRPr="003A1979">
        <w:rPr>
          <w:rFonts w:ascii="Times New Roman" w:hAnsi="Times New Roman" w:cs="Times New Roman"/>
          <w:noProof/>
          <w:color w:val="0000FF"/>
          <w:sz w:val="24"/>
          <w:szCs w:val="24"/>
        </w:rPr>
        <w:drawing>
          <wp:inline distT="0" distB="0" distL="0" distR="0">
            <wp:extent cx="9525" cy="9525"/>
            <wp:effectExtent l="0" t="0" r="0" b="0"/>
            <wp:docPr id="742" name="Picture 103" descr="previous hit">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revious hit">
                      <a:hlinkClick r:id="rId12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743" name="Picture 104" descr="next hit">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ext hit">
                      <a:hlinkClick r:id="rId12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Individual Deductions</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Deduction timing is also an important element of </w:t>
      </w:r>
      <w:bookmarkStart w:id="47" w:name="ctx62"/>
      <w:bookmarkEnd w:id="47"/>
      <w:r w:rsidRPr="003A1979">
        <w:rPr>
          <w:rFonts w:ascii="Times New Roman" w:hAnsi="Times New Roman" w:cs="Times New Roman"/>
          <w:noProof/>
          <w:color w:val="0000FF"/>
          <w:sz w:val="24"/>
          <w:szCs w:val="24"/>
        </w:rPr>
        <w:drawing>
          <wp:inline distT="0" distB="0" distL="0" distR="0">
            <wp:extent cx="9525" cy="9525"/>
            <wp:effectExtent l="0" t="0" r="0" b="0"/>
            <wp:docPr id="744" name="Picture 105" descr="previous hit">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revious hit">
                      <a:hlinkClick r:id="rId12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45" name="Picture 106" descr="next hit">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next hit">
                      <a:hlinkClick r:id="rId12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bookmarkStart w:id="48" w:name="ctx63"/>
      <w:bookmarkEnd w:id="48"/>
      <w:r w:rsidRPr="003A1979">
        <w:rPr>
          <w:rFonts w:ascii="Times New Roman" w:hAnsi="Times New Roman" w:cs="Times New Roman"/>
          <w:noProof/>
          <w:color w:val="0000FF"/>
          <w:sz w:val="24"/>
          <w:szCs w:val="24"/>
        </w:rPr>
        <w:drawing>
          <wp:inline distT="0" distB="0" distL="0" distR="0">
            <wp:extent cx="9525" cy="9525"/>
            <wp:effectExtent l="0" t="0" r="0" b="0"/>
            <wp:docPr id="746" name="Picture 107" descr="previous hit">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revious hit">
                      <a:hlinkClick r:id="rId12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47" name="Picture 108" descr="next hit">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ext hit">
                      <a:hlinkClick r:id="rId12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w:t>
      </w:r>
      <w:bookmarkStart w:id="49" w:name="ctx64"/>
      <w:bookmarkEnd w:id="49"/>
      <w:r w:rsidRPr="003A1979">
        <w:rPr>
          <w:rFonts w:ascii="Times New Roman" w:hAnsi="Times New Roman" w:cs="Times New Roman"/>
          <w:noProof/>
          <w:color w:val="0000FF"/>
          <w:sz w:val="24"/>
          <w:szCs w:val="24"/>
        </w:rPr>
        <w:drawing>
          <wp:inline distT="0" distB="0" distL="0" distR="0">
            <wp:extent cx="9525" cy="9525"/>
            <wp:effectExtent l="0" t="0" r="0" b="0"/>
            <wp:docPr id="748" name="Picture 109" descr="previous hit">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revious hit">
                      <a:hlinkClick r:id="rId12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49" name="Picture 110" descr="next hit">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ext hit">
                      <a:hlinkClick r:id="rId12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w:t>
      </w:r>
      <w:bookmarkStart w:id="50" w:name="ctx65"/>
      <w:bookmarkEnd w:id="50"/>
      <w:r w:rsidRPr="003A1979">
        <w:rPr>
          <w:rFonts w:ascii="Times New Roman" w:hAnsi="Times New Roman" w:cs="Times New Roman"/>
          <w:noProof/>
          <w:color w:val="0000FF"/>
          <w:sz w:val="24"/>
          <w:szCs w:val="24"/>
        </w:rPr>
        <w:drawing>
          <wp:inline distT="0" distB="0" distL="0" distR="0">
            <wp:extent cx="9525" cy="9525"/>
            <wp:effectExtent l="0" t="0" r="0" b="0"/>
            <wp:docPr id="750" name="Picture 111" descr="previous hit">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revious hit">
                      <a:hlinkClick r:id="rId12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751" name="Picture 112" descr="next hit">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next hit">
                      <a:hlinkClick r:id="rId12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Deduction </w:t>
      </w:r>
      <w:bookmarkStart w:id="51" w:name="ctx66"/>
      <w:bookmarkEnd w:id="51"/>
      <w:r w:rsidRPr="003A1979">
        <w:rPr>
          <w:rFonts w:ascii="Times New Roman" w:hAnsi="Times New Roman" w:cs="Times New Roman"/>
          <w:noProof/>
          <w:color w:val="0000FF"/>
          <w:sz w:val="24"/>
          <w:szCs w:val="24"/>
        </w:rPr>
        <w:drawing>
          <wp:inline distT="0" distB="0" distL="0" distR="0">
            <wp:extent cx="9525" cy="9525"/>
            <wp:effectExtent l="0" t="0" r="0" b="0"/>
            <wp:docPr id="752" name="Picture 113" descr="previous hit">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revious hit">
                      <a:hlinkClick r:id="rId13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753" name="Picture 114" descr="next hit">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next hit">
                      <a:hlinkClick r:id="rId13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is complex, however, due to factors such as AGI levels and filing status. If you are a cash-method taxpayer, remember to keep the following in mind:</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 xml:space="preserve">Deduction in </w:t>
      </w:r>
      <w:bookmarkStart w:id="52" w:name="ctx67"/>
      <w:bookmarkEnd w:id="52"/>
      <w:r w:rsidRPr="003A1979">
        <w:rPr>
          <w:rFonts w:ascii="Times New Roman" w:hAnsi="Times New Roman" w:cs="Times New Roman"/>
          <w:noProof/>
          <w:color w:val="0000FF"/>
          <w:sz w:val="24"/>
          <w:szCs w:val="24"/>
        </w:rPr>
        <w:drawing>
          <wp:inline distT="0" distB="0" distL="0" distR="0">
            <wp:extent cx="9525" cy="9525"/>
            <wp:effectExtent l="0" t="0" r="0" b="0"/>
            <wp:docPr id="754" name="Picture 115" descr="previous hit">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revious hit">
                      <a:hlinkClick r:id="rId13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55" name="Picture 116" descr="next hit">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next hit">
                      <a:hlinkClick r:id="rId13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 xml:space="preserve"> Paid</w:t>
      </w:r>
      <w:r w:rsidRPr="003A1979">
        <w:rPr>
          <w:rFonts w:ascii="Times New Roman" w:hAnsi="Times New Roman" w:cs="Times New Roman"/>
          <w:sz w:val="24"/>
          <w:szCs w:val="24"/>
        </w:rPr>
        <w:t xml:space="preserve">: An expense is only deductible in the </w:t>
      </w:r>
      <w:bookmarkStart w:id="53" w:name="ctx68"/>
      <w:bookmarkEnd w:id="53"/>
      <w:r w:rsidRPr="003A1979">
        <w:rPr>
          <w:rFonts w:ascii="Times New Roman" w:hAnsi="Times New Roman" w:cs="Times New Roman"/>
          <w:noProof/>
          <w:color w:val="0000FF"/>
          <w:sz w:val="24"/>
          <w:szCs w:val="24"/>
        </w:rPr>
        <w:drawing>
          <wp:inline distT="0" distB="0" distL="0" distR="0">
            <wp:extent cx="9525" cy="9525"/>
            <wp:effectExtent l="0" t="0" r="0" b="0"/>
            <wp:docPr id="756" name="Picture 117" descr="previous hit">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revious hit">
                      <a:hlinkClick r:id="rId13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57" name="Picture 118" descr="next hit">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next hit">
                      <a:hlinkClick r:id="rId13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in which it is actually paid. Under this rule, if your </w:t>
      </w:r>
      <w:bookmarkStart w:id="54" w:name="ctx69"/>
      <w:bookmarkEnd w:id="54"/>
      <w:r w:rsidRPr="003A1979">
        <w:rPr>
          <w:rFonts w:ascii="Times New Roman" w:hAnsi="Times New Roman" w:cs="Times New Roman"/>
          <w:noProof/>
          <w:color w:val="0000FF"/>
          <w:sz w:val="24"/>
          <w:szCs w:val="24"/>
        </w:rPr>
        <w:drawing>
          <wp:inline distT="0" distB="0" distL="0" distR="0">
            <wp:extent cx="9525" cy="9525"/>
            <wp:effectExtent l="0" t="0" r="0" b="0"/>
            <wp:docPr id="758" name="Picture 119" descr="previous hit">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revious hit">
                      <a:hlinkClick r:id="rId13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59" name="Picture 120" descr="next hit">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next hit">
                      <a:hlinkClick r:id="rId13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rate is going to increase in 2012, it is a smart strategy to postpone deductions until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Payment by Check</w:t>
      </w:r>
      <w:r w:rsidRPr="003A1979">
        <w:rPr>
          <w:rFonts w:ascii="Times New Roman" w:hAnsi="Times New Roman" w:cs="Times New Roman"/>
          <w:sz w:val="24"/>
          <w:szCs w:val="24"/>
        </w:rPr>
        <w:t xml:space="preserve">: Date checks before the </w:t>
      </w:r>
      <w:bookmarkStart w:id="55" w:name="ctx70"/>
      <w:bookmarkEnd w:id="55"/>
      <w:r w:rsidRPr="003A1979">
        <w:rPr>
          <w:rFonts w:ascii="Times New Roman" w:hAnsi="Times New Roman" w:cs="Times New Roman"/>
          <w:noProof/>
          <w:color w:val="0000FF"/>
          <w:sz w:val="24"/>
          <w:szCs w:val="24"/>
        </w:rPr>
        <w:drawing>
          <wp:inline distT="0" distB="0" distL="0" distR="0">
            <wp:extent cx="9525" cy="9525"/>
            <wp:effectExtent l="0" t="0" r="0" b="0"/>
            <wp:docPr id="760" name="Picture 121" descr="previous hit">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revious hit">
                      <a:hlinkClick r:id="rId13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61" name="Picture 122" descr="next hit">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next hit">
                      <a:hlinkClick r:id="rId13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w:t>
      </w:r>
      <w:bookmarkStart w:id="56" w:name="ctx71"/>
      <w:bookmarkEnd w:id="56"/>
      <w:r w:rsidRPr="003A1979">
        <w:rPr>
          <w:rFonts w:ascii="Times New Roman" w:hAnsi="Times New Roman" w:cs="Times New Roman"/>
          <w:noProof/>
          <w:color w:val="0000FF"/>
          <w:sz w:val="24"/>
          <w:szCs w:val="24"/>
        </w:rPr>
        <w:drawing>
          <wp:inline distT="0" distB="0" distL="0" distR="0">
            <wp:extent cx="9525" cy="9525"/>
            <wp:effectExtent l="0" t="0" r="0" b="0"/>
            <wp:docPr id="762" name="Picture 123" descr="previous hit">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revious hit">
                      <a:hlinkClick r:id="rId14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63" name="Picture 124" descr="next hit">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next hit">
                      <a:hlinkClick r:id="rId14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and mail them before January 1,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Promise to Pay</w:t>
      </w:r>
      <w:r w:rsidRPr="003A1979">
        <w:rPr>
          <w:rFonts w:ascii="Times New Roman" w:hAnsi="Times New Roman" w:cs="Times New Roman"/>
          <w:sz w:val="24"/>
          <w:szCs w:val="24"/>
        </w:rPr>
        <w:t>: A promise to pay or providing a note does not permit you to deduct the expense. But you can take a deduction if you pay with money borrowed from a third party. Hence, if you pay by credit card in 2011, you can take the deduction even though you won't pay your credit card bill until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AGI Limits</w:t>
      </w:r>
      <w:r w:rsidRPr="003A1979">
        <w:rPr>
          <w:rFonts w:ascii="Times New Roman" w:hAnsi="Times New Roman" w:cs="Times New Roman"/>
          <w:sz w:val="24"/>
          <w:szCs w:val="24"/>
        </w:rPr>
        <w:t>: For 2011, the overall limitation on itemized deductions is terminated. In addition, certain deductions may be claimed only if they exceed a percentage of AGI: 7.5% for medical expenses, 2% for miscellaneous itemized deductions, and 10% for casualty losses.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 xml:space="preserve">Standard Deduction </w:t>
      </w:r>
      <w:bookmarkStart w:id="57" w:name="ctx72"/>
      <w:bookmarkEnd w:id="57"/>
      <w:r w:rsidRPr="003A1979">
        <w:rPr>
          <w:rFonts w:ascii="Times New Roman" w:hAnsi="Times New Roman" w:cs="Times New Roman"/>
          <w:noProof/>
          <w:color w:val="0000FF"/>
          <w:sz w:val="24"/>
          <w:szCs w:val="24"/>
        </w:rPr>
        <w:drawing>
          <wp:inline distT="0" distB="0" distL="0" distR="0">
            <wp:extent cx="9525" cy="9525"/>
            <wp:effectExtent l="0" t="0" r="0" b="0"/>
            <wp:docPr id="764" name="Picture 125" descr="previous hit">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revious hit">
                      <a:hlinkClick r:id="rId14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765" name="Picture 126" descr="next hit">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next hit">
                      <a:hlinkClick r:id="rId14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Deduction </w:t>
      </w:r>
      <w:bookmarkStart w:id="58" w:name="ctx73"/>
      <w:bookmarkEnd w:id="58"/>
      <w:r w:rsidRPr="003A1979">
        <w:rPr>
          <w:rFonts w:ascii="Times New Roman" w:hAnsi="Times New Roman" w:cs="Times New Roman"/>
          <w:noProof/>
          <w:color w:val="0000FF"/>
          <w:sz w:val="24"/>
          <w:szCs w:val="24"/>
        </w:rPr>
        <w:drawing>
          <wp:inline distT="0" distB="0" distL="0" distR="0">
            <wp:extent cx="9525" cy="9525"/>
            <wp:effectExtent l="0" t="0" r="0" b="0"/>
            <wp:docPr id="766" name="Picture 127" descr="previous hit">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revious hit">
                      <a:hlinkClick r:id="rId14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767" name="Picture 128" descr="next hit">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next hit">
                      <a:hlinkClick r:id="rId14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is also affected by the standard deduction. For 2011 returns, the standard deduction is $11,600 for married taxpayers filing jointly, $5,800 for single taxpayers, $8,500 for heads of households, and $5,800 for married taxpayers filing separately. As you can see from the numbers, for 2011, the standard deduction for married taxpayers is twice the amount as that for single taxpayers. If your itemized deductions are relatively constant and are close to the standard deduction amount, you will obtain little or no benefit from itemizing your deductions each </w:t>
      </w:r>
      <w:bookmarkStart w:id="59" w:name="ctx74"/>
      <w:bookmarkEnd w:id="59"/>
      <w:r w:rsidRPr="003A1979">
        <w:rPr>
          <w:rFonts w:ascii="Times New Roman" w:hAnsi="Times New Roman" w:cs="Times New Roman"/>
          <w:noProof/>
          <w:color w:val="0000FF"/>
          <w:sz w:val="24"/>
          <w:szCs w:val="24"/>
        </w:rPr>
        <w:drawing>
          <wp:inline distT="0" distB="0" distL="0" distR="0">
            <wp:extent cx="9525" cy="9525"/>
            <wp:effectExtent l="0" t="0" r="0" b="0"/>
            <wp:docPr id="768" name="Picture 129" descr="previous hit">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revious hit">
                      <a:hlinkClick r:id="rId14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69" name="Picture 130" descr="next hit">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next hit">
                      <a:hlinkClick r:id="rId14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But simply taking the standard deduction each </w:t>
      </w:r>
      <w:bookmarkStart w:id="60" w:name="ctx75"/>
      <w:bookmarkEnd w:id="60"/>
      <w:r w:rsidRPr="003A1979">
        <w:rPr>
          <w:rFonts w:ascii="Times New Roman" w:hAnsi="Times New Roman" w:cs="Times New Roman"/>
          <w:noProof/>
          <w:color w:val="0000FF"/>
          <w:sz w:val="24"/>
          <w:szCs w:val="24"/>
        </w:rPr>
        <w:drawing>
          <wp:inline distT="0" distB="0" distL="0" distR="0">
            <wp:extent cx="9525" cy="9525"/>
            <wp:effectExtent l="0" t="0" r="0" b="0"/>
            <wp:docPr id="770" name="Picture 131" descr="previous hit">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revious hit">
                      <a:hlinkClick r:id="rId14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71" name="Picture 132" descr="next hit">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ext hit">
                      <a:hlinkClick r:id="rId14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means you lose the benefit of your itemized deductions. To maximize the benefits of both the standard deduction and itemized deductions, consider adjusting the timing of your deductible </w:t>
      </w:r>
      <w:r w:rsidRPr="003A1979">
        <w:rPr>
          <w:rFonts w:ascii="Times New Roman" w:hAnsi="Times New Roman" w:cs="Times New Roman"/>
          <w:sz w:val="24"/>
          <w:szCs w:val="24"/>
        </w:rPr>
        <w:lastRenderedPageBreak/>
        <w:t xml:space="preserve">expenses so that they are higher in one </w:t>
      </w:r>
      <w:bookmarkStart w:id="61" w:name="ctx76"/>
      <w:bookmarkEnd w:id="61"/>
      <w:r w:rsidRPr="003A1979">
        <w:rPr>
          <w:rFonts w:ascii="Times New Roman" w:hAnsi="Times New Roman" w:cs="Times New Roman"/>
          <w:noProof/>
          <w:color w:val="0000FF"/>
          <w:sz w:val="24"/>
          <w:szCs w:val="24"/>
        </w:rPr>
        <w:drawing>
          <wp:inline distT="0" distB="0" distL="0" distR="0">
            <wp:extent cx="9525" cy="9525"/>
            <wp:effectExtent l="0" t="0" r="0" b="0"/>
            <wp:docPr id="772" name="Picture 133" descr="previous hit">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revious hit">
                      <a:hlinkClick r:id="rId15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73" name="Picture 134" descr="next hit">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next hit">
                      <a:hlinkClick r:id="rId15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and lower in the following </w:t>
      </w:r>
      <w:bookmarkStart w:id="62" w:name="ctx77"/>
      <w:bookmarkEnd w:id="62"/>
      <w:r w:rsidRPr="003A1979">
        <w:rPr>
          <w:rFonts w:ascii="Times New Roman" w:hAnsi="Times New Roman" w:cs="Times New Roman"/>
          <w:noProof/>
          <w:color w:val="0000FF"/>
          <w:sz w:val="24"/>
          <w:szCs w:val="24"/>
        </w:rPr>
        <w:drawing>
          <wp:inline distT="0" distB="0" distL="0" distR="0">
            <wp:extent cx="9525" cy="9525"/>
            <wp:effectExtent l="0" t="0" r="0" b="0"/>
            <wp:docPr id="774" name="Picture 135" descr="previous hit">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revious hit">
                      <a:hlinkClick r:id="rId15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75" name="Picture 136" descr="next hit">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ext hit">
                      <a:hlinkClick r:id="rId15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You can do this by paying in 2011 deductible expenses, such as mortgage interest due in January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Medical Expenses</w:t>
      </w:r>
      <w:r w:rsidRPr="003A1979">
        <w:rPr>
          <w:rFonts w:ascii="Times New Roman" w:hAnsi="Times New Roman" w:cs="Times New Roman"/>
          <w:sz w:val="24"/>
          <w:szCs w:val="24"/>
        </w:rPr>
        <w:t>: Medical expenses, including amounts paid as health insurance premiums, are deductible only to the extent that they exceed 7.5% of AGI. Consider bunching medical expenses into years when your AGI is lower.</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State Taxes</w:t>
      </w:r>
      <w:r w:rsidRPr="003A1979">
        <w:rPr>
          <w:rFonts w:ascii="Times New Roman" w:hAnsi="Times New Roman" w:cs="Times New Roman"/>
          <w:sz w:val="24"/>
          <w:szCs w:val="24"/>
        </w:rPr>
        <w:t xml:space="preserve">: If you anticipate a state income </w:t>
      </w:r>
      <w:bookmarkStart w:id="63" w:name="ctx78"/>
      <w:bookmarkEnd w:id="63"/>
      <w:r w:rsidRPr="003A1979">
        <w:rPr>
          <w:rFonts w:ascii="Times New Roman" w:hAnsi="Times New Roman" w:cs="Times New Roman"/>
          <w:noProof/>
          <w:color w:val="0000FF"/>
          <w:sz w:val="24"/>
          <w:szCs w:val="24"/>
        </w:rPr>
        <w:drawing>
          <wp:inline distT="0" distB="0" distL="0" distR="0">
            <wp:extent cx="9525" cy="9525"/>
            <wp:effectExtent l="0" t="0" r="0" b="0"/>
            <wp:docPr id="776" name="Picture 137" descr="previous hit">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revious hit">
                      <a:hlinkClick r:id="rId15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77" name="Picture 138" descr="next hit">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next hit">
                      <a:hlinkClick r:id="rId15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liability for 2011 and plan to make an estimated payment, consider making the payment before the </w:t>
      </w:r>
      <w:bookmarkStart w:id="64" w:name="ctx79"/>
      <w:bookmarkEnd w:id="64"/>
      <w:r w:rsidRPr="003A1979">
        <w:rPr>
          <w:rFonts w:ascii="Times New Roman" w:hAnsi="Times New Roman" w:cs="Times New Roman"/>
          <w:noProof/>
          <w:color w:val="0000FF"/>
          <w:sz w:val="24"/>
          <w:szCs w:val="24"/>
        </w:rPr>
        <w:drawing>
          <wp:inline distT="0" distB="0" distL="0" distR="0">
            <wp:extent cx="9525" cy="9525"/>
            <wp:effectExtent l="0" t="0" r="0" b="0"/>
            <wp:docPr id="778" name="Picture 139" descr="previous hit">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revious hit">
                      <a:hlinkClick r:id="rId15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79" name="Picture 140" descr="next hit">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next hit">
                      <a:hlinkClick r:id="rId15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Note that in 2011, taxpayers may elect to deduct as an itemized deduction state and local sales taxes instead of state and local income taxes. This benefits taxpayers that reside in states without an income </w:t>
      </w:r>
      <w:bookmarkStart w:id="65" w:name="ctx80"/>
      <w:bookmarkEnd w:id="65"/>
      <w:r w:rsidRPr="003A1979">
        <w:rPr>
          <w:rFonts w:ascii="Times New Roman" w:hAnsi="Times New Roman" w:cs="Times New Roman"/>
          <w:noProof/>
          <w:color w:val="0000FF"/>
          <w:sz w:val="24"/>
          <w:szCs w:val="24"/>
        </w:rPr>
        <w:drawing>
          <wp:inline distT="0" distB="0" distL="0" distR="0">
            <wp:extent cx="9525" cy="9525"/>
            <wp:effectExtent l="0" t="0" r="0" b="0"/>
            <wp:docPr id="780" name="Picture 141" descr="previous hit">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revious hit">
                      <a:hlinkClick r:id="rId15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81" name="Picture 142" descr="next hit">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next hit">
                      <a:hlinkClick r:id="rId15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This provision expires at the </w:t>
      </w:r>
      <w:bookmarkStart w:id="66" w:name="ctx81"/>
      <w:bookmarkEnd w:id="66"/>
      <w:r w:rsidRPr="003A1979">
        <w:rPr>
          <w:rFonts w:ascii="Times New Roman" w:hAnsi="Times New Roman" w:cs="Times New Roman"/>
          <w:noProof/>
          <w:color w:val="0000FF"/>
          <w:sz w:val="24"/>
          <w:szCs w:val="24"/>
        </w:rPr>
        <w:drawing>
          <wp:inline distT="0" distB="0" distL="0" distR="0">
            <wp:extent cx="9525" cy="9525"/>
            <wp:effectExtent l="0" t="0" r="0" b="0"/>
            <wp:docPr id="782" name="Picture 143" descr="previous hit">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revious hit">
                      <a:hlinkClick r:id="rId16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83" name="Picture 144" descr="next hit">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next hit">
                      <a:hlinkClick r:id="rId16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so you would want to take advantage of it now by making large purchases in 2011 rather than waiting until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Charitable Contributions</w:t>
      </w:r>
      <w:r w:rsidRPr="003A1979">
        <w:rPr>
          <w:rFonts w:ascii="Times New Roman" w:hAnsi="Times New Roman" w:cs="Times New Roman"/>
          <w:sz w:val="24"/>
          <w:szCs w:val="24"/>
        </w:rPr>
        <w:t xml:space="preserve">: Consider making your charitable contributions at the </w:t>
      </w:r>
      <w:bookmarkStart w:id="67" w:name="ctx82"/>
      <w:bookmarkEnd w:id="67"/>
      <w:r w:rsidRPr="003A1979">
        <w:rPr>
          <w:rFonts w:ascii="Times New Roman" w:hAnsi="Times New Roman" w:cs="Times New Roman"/>
          <w:noProof/>
          <w:color w:val="0000FF"/>
          <w:sz w:val="24"/>
          <w:szCs w:val="24"/>
        </w:rPr>
        <w:drawing>
          <wp:inline distT="0" distB="0" distL="0" distR="0">
            <wp:extent cx="9525" cy="9525"/>
            <wp:effectExtent l="0" t="0" r="0" b="0"/>
            <wp:docPr id="784" name="Picture 145" descr="previous hit">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revious hit">
                      <a:hlinkClick r:id="rId16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85" name="Picture 146" descr="next hit">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ext hit">
                      <a:hlinkClick r:id="rId16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w:t>
      </w:r>
      <w:bookmarkStart w:id="68" w:name="ctx83"/>
      <w:bookmarkEnd w:id="68"/>
      <w:r w:rsidRPr="003A1979">
        <w:rPr>
          <w:rFonts w:ascii="Times New Roman" w:hAnsi="Times New Roman" w:cs="Times New Roman"/>
          <w:noProof/>
          <w:color w:val="0000FF"/>
          <w:sz w:val="24"/>
          <w:szCs w:val="24"/>
        </w:rPr>
        <w:drawing>
          <wp:inline distT="0" distB="0" distL="0" distR="0">
            <wp:extent cx="9525" cy="9525"/>
            <wp:effectExtent l="0" t="0" r="0" b="0"/>
            <wp:docPr id="786" name="Picture 147" descr="previous hit">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revious hit">
                      <a:hlinkClick r:id="rId16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87" name="Picture 148" descr="next hit">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next hit">
                      <a:hlinkClick r:id="rId16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This will give you use of the money during the </w:t>
      </w:r>
      <w:bookmarkStart w:id="69" w:name="ctx84"/>
      <w:bookmarkEnd w:id="69"/>
      <w:r w:rsidRPr="003A1979">
        <w:rPr>
          <w:rFonts w:ascii="Times New Roman" w:hAnsi="Times New Roman" w:cs="Times New Roman"/>
          <w:noProof/>
          <w:color w:val="0000FF"/>
          <w:sz w:val="24"/>
          <w:szCs w:val="24"/>
        </w:rPr>
        <w:drawing>
          <wp:inline distT="0" distB="0" distL="0" distR="0">
            <wp:extent cx="9525" cy="9525"/>
            <wp:effectExtent l="0" t="0" r="0" b="0"/>
            <wp:docPr id="788" name="Picture 149" descr="previous hit">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revious hit">
                      <a:hlinkClick r:id="rId16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89" name="Picture 150" descr="next hit">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next hit">
                      <a:hlinkClick r:id="rId16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and simultaneously permit you to claim a deduction for that </w:t>
      </w:r>
      <w:bookmarkStart w:id="70" w:name="ctx85"/>
      <w:bookmarkEnd w:id="70"/>
      <w:r w:rsidRPr="003A1979">
        <w:rPr>
          <w:rFonts w:ascii="Times New Roman" w:hAnsi="Times New Roman" w:cs="Times New Roman"/>
          <w:noProof/>
          <w:color w:val="0000FF"/>
          <w:sz w:val="24"/>
          <w:szCs w:val="24"/>
        </w:rPr>
        <w:drawing>
          <wp:inline distT="0" distB="0" distL="0" distR="0">
            <wp:extent cx="9525" cy="9525"/>
            <wp:effectExtent l="0" t="0" r="0" b="0"/>
            <wp:docPr id="790" name="Picture 151" descr="previous hit">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revious hit">
                      <a:hlinkClick r:id="rId16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91" name="Picture 152" descr="next hit">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next hit">
                      <a:hlinkClick r:id="rId16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You can use a credit card to charge donations in 2011 even though you will not pay the bill until 2012. A mere pledge to make a donation is not deductible, however, unless it is paid by the </w:t>
      </w:r>
      <w:bookmarkStart w:id="71" w:name="ctx86"/>
      <w:bookmarkEnd w:id="71"/>
      <w:r w:rsidRPr="003A1979">
        <w:rPr>
          <w:rFonts w:ascii="Times New Roman" w:hAnsi="Times New Roman" w:cs="Times New Roman"/>
          <w:noProof/>
          <w:color w:val="0000FF"/>
          <w:sz w:val="24"/>
          <w:szCs w:val="24"/>
        </w:rPr>
        <w:drawing>
          <wp:inline distT="0" distB="0" distL="0" distR="0">
            <wp:extent cx="9525" cy="9525"/>
            <wp:effectExtent l="0" t="0" r="0" b="0"/>
            <wp:docPr id="792" name="Picture 153" descr="previous hit">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revious hit">
                      <a:hlinkClick r:id="rId17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93" name="Picture 154" descr="next hit">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next hit">
                      <a:hlinkClick r:id="rId17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w:t>
      </w:r>
      <w:bookmarkStart w:id="72" w:name="ctx87"/>
      <w:bookmarkEnd w:id="72"/>
      <w:r w:rsidRPr="003A1979">
        <w:rPr>
          <w:rFonts w:ascii="Times New Roman" w:hAnsi="Times New Roman" w:cs="Times New Roman"/>
          <w:noProof/>
          <w:color w:val="0000FF"/>
          <w:sz w:val="24"/>
          <w:szCs w:val="24"/>
        </w:rPr>
        <w:drawing>
          <wp:inline distT="0" distB="0" distL="0" distR="0">
            <wp:extent cx="9525" cy="9525"/>
            <wp:effectExtent l="0" t="0" r="0" b="0"/>
            <wp:docPr id="794" name="Picture 155" descr="previous hit">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revious hit">
                      <a:hlinkClick r:id="rId17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795" name="Picture 156" descr="next hit">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next hit">
                      <a:hlinkClick r:id="rId17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Note, however, for claimed donations of cars, boats and airplanes of more than $500, the amount available as a deduction will significantly depend on what the charity does with the donated property, not just the fair market value of the donated property. If the organization sells the property without any significant intervening use or material improvement to the property, the amount of the charitable contribution deduction cannot exceed the gross proceeds received from the sale.</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To avoid capital gains, you may want to consider giving appreciated property to charity.</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Regarding charitable contributions please remember the following rules: (1) no deduction is allowed for charitable contributions of clothing and household items if such items are not in good used condition or better; (2) the IRS may deny a deduction for any item with minimal monetary value; and (3) the restrictions in (1) and (2) do not apply to the contribution of any single clothing or household item for which a deduction of $500 or more is claimed if the taxpayer includes a qualified appraisal with his or her return. Charitable contributions of money, regardless of the amount, will be denied a deduction, unless the donor maintains a cancelled </w:t>
      </w:r>
      <w:r w:rsidRPr="003A1979">
        <w:rPr>
          <w:rFonts w:ascii="Times New Roman" w:hAnsi="Times New Roman" w:cs="Times New Roman"/>
          <w:sz w:val="24"/>
          <w:szCs w:val="24"/>
        </w:rPr>
        <w:lastRenderedPageBreak/>
        <w:t>check, bank record, or receipt from the donee organization showing the name of the donee organization, and the date and amount of the contribution.</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A special provision gives taxpayers the ability to distribute </w:t>
      </w:r>
      <w:bookmarkStart w:id="73" w:name="ctx88"/>
      <w:bookmarkEnd w:id="73"/>
      <w:r w:rsidRPr="003A1979">
        <w:rPr>
          <w:rFonts w:ascii="Times New Roman" w:hAnsi="Times New Roman" w:cs="Times New Roman"/>
          <w:noProof/>
          <w:color w:val="0000FF"/>
          <w:sz w:val="24"/>
          <w:szCs w:val="24"/>
        </w:rPr>
        <w:drawing>
          <wp:inline distT="0" distB="0" distL="0" distR="0">
            <wp:extent cx="9525" cy="9525"/>
            <wp:effectExtent l="0" t="0" r="0" b="0"/>
            <wp:docPr id="796" name="Picture 157" descr="previous hit">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revious hit">
                      <a:hlinkClick r:id="rId17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797" name="Picture 158" descr="next hit">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next hit">
                      <a:hlinkClick r:id="rId17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-free to charity up to $100,000 from a traditional or Roth IRA maintained for an individual whose has reached age 70</w:t>
      </w:r>
      <w:r w:rsidRPr="003A1979">
        <w:rPr>
          <w:rFonts w:ascii="Times New Roman" w:hAnsi="Times New Roman" w:cs="Times New Roman"/>
          <w:sz w:val="24"/>
          <w:szCs w:val="24"/>
          <w:vertAlign w:val="superscript"/>
        </w:rPr>
        <w:t>1</w:t>
      </w:r>
      <w:r w:rsidRPr="003A1979">
        <w:rPr>
          <w:rFonts w:ascii="Times New Roman" w:hAnsi="Times New Roman" w:cs="Times New Roman"/>
          <w:sz w:val="24"/>
          <w:szCs w:val="24"/>
        </w:rPr>
        <w:t>/</w:t>
      </w:r>
      <w:r w:rsidRPr="003A1979">
        <w:rPr>
          <w:rFonts w:ascii="Times New Roman" w:hAnsi="Times New Roman" w:cs="Times New Roman"/>
          <w:sz w:val="24"/>
          <w:szCs w:val="24"/>
          <w:vertAlign w:val="subscript"/>
        </w:rPr>
        <w:t>2</w:t>
      </w:r>
      <w:r w:rsidRPr="003A1979">
        <w:rPr>
          <w:rFonts w:ascii="Times New Roman" w:hAnsi="Times New Roman" w:cs="Times New Roman"/>
          <w:sz w:val="24"/>
          <w:szCs w:val="24"/>
        </w:rPr>
        <w:t xml:space="preserve">. Ordinarily, such distributions would be taxable to the individual, who would not be able to offset the income fully because of the percentage limitations on charitable contribution deductions. This provision expires at the </w:t>
      </w:r>
      <w:bookmarkStart w:id="74" w:name="ctx89"/>
      <w:bookmarkEnd w:id="74"/>
      <w:r w:rsidRPr="003A1979">
        <w:rPr>
          <w:rFonts w:ascii="Times New Roman" w:hAnsi="Times New Roman" w:cs="Times New Roman"/>
          <w:noProof/>
          <w:color w:val="0000FF"/>
          <w:sz w:val="24"/>
          <w:szCs w:val="24"/>
        </w:rPr>
        <w:drawing>
          <wp:inline distT="0" distB="0" distL="0" distR="0">
            <wp:extent cx="9525" cy="9525"/>
            <wp:effectExtent l="0" t="0" r="0" b="0"/>
            <wp:docPr id="798" name="Picture 159" descr="previous hit">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revious hit">
                      <a:hlinkClick r:id="rId17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799" name="Picture 160" descr="next hit">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next hit">
                      <a:hlinkClick r:id="rId17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so you would want to take advantage of it now.</w:t>
      </w:r>
    </w:p>
    <w:p w:rsidR="00243AD5" w:rsidRPr="003A1979" w:rsidRDefault="00243AD5" w:rsidP="00243AD5">
      <w:pPr>
        <w:rPr>
          <w:rFonts w:ascii="Times New Roman" w:hAnsi="Times New Roman" w:cs="Times New Roman"/>
          <w:b/>
          <w:sz w:val="24"/>
          <w:szCs w:val="24"/>
          <w:u w:val="single"/>
        </w:rPr>
      </w:pPr>
      <w:bookmarkStart w:id="75" w:name="BizDeduct"/>
      <w:r w:rsidRPr="003A1979">
        <w:rPr>
          <w:rFonts w:ascii="Times New Roman" w:hAnsi="Times New Roman" w:cs="Times New Roman"/>
          <w:b/>
          <w:sz w:val="24"/>
          <w:szCs w:val="24"/>
          <w:u w:val="single"/>
        </w:rPr>
        <w:t>Business Deductions</w:t>
      </w:r>
    </w:p>
    <w:bookmarkEnd w:id="75"/>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Self-Employed Health Insurance Premiums</w:t>
      </w:r>
      <w:r w:rsidRPr="003A1979">
        <w:rPr>
          <w:rFonts w:ascii="Times New Roman" w:hAnsi="Times New Roman" w:cs="Times New Roman"/>
          <w:sz w:val="24"/>
          <w:szCs w:val="24"/>
        </w:rPr>
        <w:t xml:space="preserve">: Self-employed individuals are allowed to claim 100% of the amount paid during the taxable </w:t>
      </w:r>
      <w:bookmarkStart w:id="76" w:name="ctx90"/>
      <w:bookmarkEnd w:id="76"/>
      <w:r w:rsidRPr="003A1979">
        <w:rPr>
          <w:rFonts w:ascii="Times New Roman" w:hAnsi="Times New Roman" w:cs="Times New Roman"/>
          <w:noProof/>
          <w:color w:val="0000FF"/>
          <w:sz w:val="24"/>
          <w:szCs w:val="24"/>
        </w:rPr>
        <w:drawing>
          <wp:inline distT="0" distB="0" distL="0" distR="0">
            <wp:extent cx="9525" cy="9525"/>
            <wp:effectExtent l="0" t="0" r="0" b="0"/>
            <wp:docPr id="800" name="Picture 161" descr="previous hit">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revious hit">
                      <a:hlinkClick r:id="rId17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01" name="Picture 162" descr="next hit">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next hit">
                      <a:hlinkClick r:id="rId17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for insurance that constitutes medical care for themselves, their spouses and dependents as an above-the-line deduction, without regard to the 7.5% of AGI floor.</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Equipment Purchases</w:t>
      </w:r>
      <w:r w:rsidRPr="003A1979">
        <w:rPr>
          <w:rFonts w:ascii="Times New Roman" w:hAnsi="Times New Roman" w:cs="Times New Roman"/>
          <w:sz w:val="24"/>
          <w:szCs w:val="24"/>
        </w:rPr>
        <w:t xml:space="preserve">: If you are in business and purchase equipment, you may make a “Section </w:t>
      </w:r>
      <w:hyperlink r:id="rId180" w:tgtFrame="_top" w:history="1">
        <w:r w:rsidRPr="003A1979">
          <w:rPr>
            <w:rStyle w:val="Hyperlink"/>
            <w:rFonts w:ascii="Times New Roman" w:hAnsi="Times New Roman" w:cs="Times New Roman"/>
            <w:sz w:val="24"/>
            <w:szCs w:val="24"/>
          </w:rPr>
          <w:t>179</w:t>
        </w:r>
      </w:hyperlink>
      <w:r w:rsidRPr="003A1979">
        <w:rPr>
          <w:rFonts w:ascii="Times New Roman" w:hAnsi="Times New Roman" w:cs="Times New Roman"/>
          <w:sz w:val="24"/>
          <w:szCs w:val="24"/>
        </w:rPr>
        <w:t xml:space="preserve"> Election,” which allows you to expense (i.e., currently deduct) otherwise depreciable business property. For 2011, you may elect to expense up to $500,000 of equipment costs (with a phase-out for purchases in excess of $2,000,000) if the asset was placed in service during 2011. Also, certain real property can qualify for the expense deduction, but of the $500,000 limitation, only $250,000 can be attributed to qualified real property. Note that for assets placed in service in 2011, taxpayers can expense all of their business equipment purchases under a provision giving taxpayers 100% bonus depreciation, possibly negating the need for the </w:t>
      </w:r>
      <w:hyperlink r:id="rId181" w:tgtFrame="_top" w:history="1">
        <w:r w:rsidRPr="003A1979">
          <w:rPr>
            <w:rStyle w:val="Hyperlink"/>
            <w:rFonts w:ascii="Times New Roman" w:hAnsi="Times New Roman" w:cs="Times New Roman"/>
            <w:sz w:val="24"/>
            <w:szCs w:val="24"/>
          </w:rPr>
          <w:t>§179</w:t>
        </w:r>
      </w:hyperlink>
      <w:r w:rsidRPr="003A1979">
        <w:rPr>
          <w:rFonts w:ascii="Times New Roman" w:hAnsi="Times New Roman" w:cs="Times New Roman"/>
          <w:sz w:val="24"/>
          <w:szCs w:val="24"/>
        </w:rPr>
        <w:t xml:space="preserve"> election.</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In 2012, the dollar amounts for </w:t>
      </w:r>
      <w:hyperlink r:id="rId182" w:tgtFrame="_top" w:history="1">
        <w:r w:rsidRPr="003A1979">
          <w:rPr>
            <w:rStyle w:val="Hyperlink"/>
            <w:rFonts w:ascii="Times New Roman" w:hAnsi="Times New Roman" w:cs="Times New Roman"/>
            <w:sz w:val="24"/>
            <w:szCs w:val="24"/>
          </w:rPr>
          <w:t>§179</w:t>
        </w:r>
      </w:hyperlink>
      <w:r w:rsidRPr="003A1979">
        <w:rPr>
          <w:rFonts w:ascii="Times New Roman" w:hAnsi="Times New Roman" w:cs="Times New Roman"/>
          <w:sz w:val="24"/>
          <w:szCs w:val="24"/>
        </w:rPr>
        <w:t xml:space="preserve"> expensing are scheduled to be $125,000 (with an inflation adjustment), with a phase-out amount of $500,000. Also, the allowance for real property does not apply for 2012.</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In addition, careful timing of equipment purchases can result in favorable depreciation deductions in 2011. In general, under the “half-</w:t>
      </w:r>
      <w:bookmarkStart w:id="77" w:name="ctx91"/>
      <w:bookmarkEnd w:id="77"/>
      <w:r w:rsidRPr="003A1979">
        <w:rPr>
          <w:rFonts w:ascii="Times New Roman" w:hAnsi="Times New Roman" w:cs="Times New Roman"/>
          <w:noProof/>
          <w:color w:val="0000FF"/>
          <w:sz w:val="24"/>
          <w:szCs w:val="24"/>
        </w:rPr>
        <w:drawing>
          <wp:inline distT="0" distB="0" distL="0" distR="0">
            <wp:extent cx="9525" cy="9525"/>
            <wp:effectExtent l="0" t="0" r="0" b="0"/>
            <wp:docPr id="802" name="Picture 163" descr="previous hit">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revious hit">
                      <a:hlinkClick r:id="rId18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03" name="Picture 164" descr="next hit">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next hit">
                      <a:hlinkClick r:id="rId18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convention,” you may deduct six months worth of depreciation for equipment that is placed in service on or before the last day of the </w:t>
      </w:r>
      <w:bookmarkStart w:id="78" w:name="ctx92"/>
      <w:bookmarkEnd w:id="78"/>
      <w:r w:rsidRPr="003A1979">
        <w:rPr>
          <w:rFonts w:ascii="Times New Roman" w:hAnsi="Times New Roman" w:cs="Times New Roman"/>
          <w:noProof/>
          <w:color w:val="0000FF"/>
          <w:sz w:val="24"/>
          <w:szCs w:val="24"/>
        </w:rPr>
        <w:drawing>
          <wp:inline distT="0" distB="0" distL="0" distR="0">
            <wp:extent cx="9525" cy="9525"/>
            <wp:effectExtent l="0" t="0" r="0" b="0"/>
            <wp:docPr id="804" name="Picture 165" descr="previous hit">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revious hit">
                      <a:hlinkClick r:id="rId18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05" name="Picture 166" descr="next hit">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next hit">
                      <a:hlinkClick r:id="rId18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w:t>
      </w:r>
      <w:bookmarkStart w:id="79" w:name="ctx93"/>
      <w:bookmarkEnd w:id="79"/>
      <w:r w:rsidRPr="003A1979">
        <w:rPr>
          <w:rFonts w:ascii="Times New Roman" w:hAnsi="Times New Roman" w:cs="Times New Roman"/>
          <w:noProof/>
          <w:color w:val="0000FF"/>
          <w:sz w:val="24"/>
          <w:szCs w:val="24"/>
        </w:rPr>
        <w:drawing>
          <wp:inline distT="0" distB="0" distL="0" distR="0">
            <wp:extent cx="9525" cy="9525"/>
            <wp:effectExtent l="0" t="0" r="0" b="0"/>
            <wp:docPr id="806" name="Picture 167" descr="previous hit">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revious hit">
                      <a:hlinkClick r:id="rId18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07" name="Picture 168" descr="next hit">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next hit">
                      <a:hlinkClick r:id="rId18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(If more than 40% of the cost of all personal property placed in service occurs during the last quarter of the </w:t>
      </w:r>
      <w:bookmarkStart w:id="80" w:name="ctx94"/>
      <w:bookmarkEnd w:id="80"/>
      <w:r w:rsidRPr="003A1979">
        <w:rPr>
          <w:rFonts w:ascii="Times New Roman" w:hAnsi="Times New Roman" w:cs="Times New Roman"/>
          <w:noProof/>
          <w:color w:val="0000FF"/>
          <w:sz w:val="24"/>
          <w:szCs w:val="24"/>
        </w:rPr>
        <w:drawing>
          <wp:inline distT="0" distB="0" distL="0" distR="0">
            <wp:extent cx="9525" cy="9525"/>
            <wp:effectExtent l="0" t="0" r="0" b="0"/>
            <wp:docPr id="808" name="Picture 169" descr="previous hit">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revious hit">
                      <a:hlinkClick r:id="rId18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09" name="Picture 170" descr="next hit">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next hit">
                      <a:hlinkClick r:id="rId19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however, a “mid-quarter convention” applies, which lowers your depreciation deduction.) A popular strategy in recent years is to purchase a vehicle for business </w:t>
      </w:r>
      <w:r w:rsidRPr="003A1979">
        <w:rPr>
          <w:rFonts w:ascii="Times New Roman" w:hAnsi="Times New Roman" w:cs="Times New Roman"/>
          <w:sz w:val="24"/>
          <w:szCs w:val="24"/>
        </w:rPr>
        <w:lastRenderedPageBreak/>
        <w:t>purposes that exceeds the depreciation limits set by statute (i.e., a vehicle rated over 6,000 pounds). Doing so would not subject the purchase to the statutory dollar limit, $11,060 for 2011 (due to bonus depreciation rules); $11,260 in the case of vans and trucks (due to bonus depreciation rules). Therefore, the vehicle would qualify for the full equipment expensing dollar amount. However, for SUVs (rated between 6,000 and 14,000 pounds gross vehicle weight) the expensing amount is limited to $25,000.</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NOL Carryback Period</w:t>
      </w:r>
      <w:r w:rsidRPr="003A1979">
        <w:rPr>
          <w:rFonts w:ascii="Times New Roman" w:hAnsi="Times New Roman" w:cs="Times New Roman"/>
          <w:sz w:val="24"/>
          <w:szCs w:val="24"/>
        </w:rPr>
        <w:t xml:space="preserve">: If your business suffers net operating losses for 2011, you generally apply those losses against taxable income going back two </w:t>
      </w:r>
      <w:bookmarkStart w:id="81" w:name="ctx95"/>
      <w:bookmarkEnd w:id="81"/>
      <w:r w:rsidRPr="003A1979">
        <w:rPr>
          <w:rFonts w:ascii="Times New Roman" w:hAnsi="Times New Roman" w:cs="Times New Roman"/>
          <w:noProof/>
          <w:color w:val="0000FF"/>
          <w:sz w:val="24"/>
          <w:szCs w:val="24"/>
        </w:rPr>
        <w:drawing>
          <wp:inline distT="0" distB="0" distL="0" distR="0">
            <wp:extent cx="9525" cy="9525"/>
            <wp:effectExtent l="0" t="0" r="0" b="0"/>
            <wp:docPr id="810" name="Picture 171" descr="previous hit">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revious hit">
                      <a:hlinkClick r:id="rId19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11" name="Picture 172" descr="next hit">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next hit">
                      <a:hlinkClick r:id="rId19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years. Thus, for example, the loss could be used to reduce taxable income—and thus generate </w:t>
      </w:r>
      <w:bookmarkStart w:id="82" w:name="ctx96"/>
      <w:bookmarkEnd w:id="82"/>
      <w:r w:rsidRPr="003A1979">
        <w:rPr>
          <w:rFonts w:ascii="Times New Roman" w:hAnsi="Times New Roman" w:cs="Times New Roman"/>
          <w:noProof/>
          <w:color w:val="0000FF"/>
          <w:sz w:val="24"/>
          <w:szCs w:val="24"/>
        </w:rPr>
        <w:drawing>
          <wp:inline distT="0" distB="0" distL="0" distR="0">
            <wp:extent cx="9525" cy="9525"/>
            <wp:effectExtent l="0" t="0" r="0" b="0"/>
            <wp:docPr id="812" name="Picture 173" descr="previous hit">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revious hit">
                      <a:hlinkClick r:id="rId19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13" name="Picture 174" descr="next hit">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next hit">
                      <a:hlinkClick r:id="rId19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refunds—for </w:t>
      </w:r>
      <w:bookmarkStart w:id="83" w:name="ctx97"/>
      <w:bookmarkEnd w:id="83"/>
      <w:r w:rsidRPr="003A1979">
        <w:rPr>
          <w:rFonts w:ascii="Times New Roman" w:hAnsi="Times New Roman" w:cs="Times New Roman"/>
          <w:noProof/>
          <w:color w:val="0000FF"/>
          <w:sz w:val="24"/>
          <w:szCs w:val="24"/>
        </w:rPr>
        <w:drawing>
          <wp:inline distT="0" distB="0" distL="0" distR="0">
            <wp:extent cx="9525" cy="9525"/>
            <wp:effectExtent l="0" t="0" r="0" b="0"/>
            <wp:docPr id="814" name="Picture 175" descr="previous hit">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revious hit">
                      <a:hlinkClick r:id="rId19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15" name="Picture 176" descr="next hit">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next hit">
                      <a:hlinkClick r:id="rId19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years as far back as 2009. Certain “eligible losses” can be carried back three years; farming losses can be carried back five years.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Bonus Depreciation</w:t>
      </w:r>
      <w:r w:rsidRPr="003A1979">
        <w:rPr>
          <w:rFonts w:ascii="Times New Roman" w:hAnsi="Times New Roman" w:cs="Times New Roman"/>
          <w:sz w:val="24"/>
          <w:szCs w:val="24"/>
        </w:rPr>
        <w:t>: Taxpayers can claim 100% bonus depreciation for assets placed in service in 2011. Bonus depreciation is also allowed for machinery and equipment used exclusively to collect, distribute, or recycle qualified reuse and recyclable materials and qualified disaster assistance property. In 2012, the bonus depreciation amount is scheduled to be reduced to 50%.</w:t>
      </w:r>
    </w:p>
    <w:p w:rsidR="00243AD5" w:rsidRPr="003A1979" w:rsidRDefault="00243AD5" w:rsidP="00243AD5">
      <w:pPr>
        <w:rPr>
          <w:rFonts w:ascii="Times New Roman" w:hAnsi="Times New Roman" w:cs="Times New Roman"/>
          <w:b/>
          <w:sz w:val="24"/>
          <w:szCs w:val="24"/>
          <w:u w:val="single"/>
        </w:rPr>
      </w:pPr>
      <w:bookmarkStart w:id="84" w:name="Children"/>
      <w:r w:rsidRPr="003A1979">
        <w:rPr>
          <w:rFonts w:ascii="Times New Roman" w:hAnsi="Times New Roman" w:cs="Times New Roman"/>
          <w:b/>
          <w:sz w:val="24"/>
          <w:szCs w:val="24"/>
          <w:u w:val="single"/>
        </w:rPr>
        <w:t xml:space="preserve">Child </w:t>
      </w:r>
      <w:bookmarkStart w:id="85" w:name="ctx98"/>
      <w:bookmarkEnd w:id="85"/>
      <w:r w:rsidRPr="003A1979">
        <w:rPr>
          <w:rFonts w:ascii="Times New Roman" w:hAnsi="Times New Roman" w:cs="Times New Roman"/>
          <w:b/>
          <w:noProof/>
          <w:color w:val="0000FF"/>
          <w:sz w:val="24"/>
          <w:szCs w:val="24"/>
          <w:u w:val="single"/>
        </w:rPr>
        <w:drawing>
          <wp:inline distT="0" distB="0" distL="0" distR="0">
            <wp:extent cx="9525" cy="9525"/>
            <wp:effectExtent l="0" t="0" r="0" b="0"/>
            <wp:docPr id="816" name="Picture 177"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revious hit">
                      <a:hlinkClick r:id="rId1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b/>
          <w:sz w:val="24"/>
          <w:szCs w:val="24"/>
          <w:u w:val="single"/>
        </w:rPr>
        <w:t>Tax</w:t>
      </w:r>
      <w:r w:rsidRPr="003A1979">
        <w:rPr>
          <w:rFonts w:ascii="Times New Roman" w:hAnsi="Times New Roman" w:cs="Times New Roman"/>
          <w:b/>
          <w:noProof/>
          <w:color w:val="0000FF"/>
          <w:sz w:val="24"/>
          <w:szCs w:val="24"/>
          <w:u w:val="single"/>
        </w:rPr>
        <w:drawing>
          <wp:inline distT="0" distB="0" distL="0" distR="0">
            <wp:extent cx="9525" cy="9525"/>
            <wp:effectExtent l="0" t="0" r="0" b="0"/>
            <wp:docPr id="817" name="Picture 178"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next hit">
                      <a:hlinkClick r:id="rId1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b/>
          <w:sz w:val="24"/>
          <w:szCs w:val="24"/>
          <w:u w:val="single"/>
        </w:rPr>
        <w:t xml:space="preserve"> Benefits</w:t>
      </w:r>
    </w:p>
    <w:bookmarkEnd w:id="84"/>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 xml:space="preserve">Child </w:t>
      </w:r>
      <w:bookmarkStart w:id="86" w:name="ctx99"/>
      <w:bookmarkEnd w:id="86"/>
      <w:r w:rsidRPr="003A1979">
        <w:rPr>
          <w:rFonts w:ascii="Times New Roman" w:hAnsi="Times New Roman" w:cs="Times New Roman"/>
          <w:noProof/>
          <w:color w:val="0000FF"/>
          <w:sz w:val="24"/>
          <w:szCs w:val="24"/>
        </w:rPr>
        <w:drawing>
          <wp:inline distT="0" distB="0" distL="0" distR="0">
            <wp:extent cx="9525" cy="9525"/>
            <wp:effectExtent l="0" t="0" r="0" b="0"/>
            <wp:docPr id="818" name="Picture 179" descr="previous hit">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revious hit">
                      <a:hlinkClick r:id="rId19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19" name="Picture 180" descr="next hit">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next hit">
                      <a:hlinkClick r:id="rId19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 xml:space="preserve"> Credit</w:t>
      </w:r>
      <w:r w:rsidRPr="003A1979">
        <w:rPr>
          <w:rFonts w:ascii="Times New Roman" w:hAnsi="Times New Roman" w:cs="Times New Roman"/>
          <w:sz w:val="24"/>
          <w:szCs w:val="24"/>
        </w:rPr>
        <w:t xml:space="preserve">: A </w:t>
      </w:r>
      <w:bookmarkStart w:id="87" w:name="ctx100"/>
      <w:bookmarkEnd w:id="87"/>
      <w:r w:rsidRPr="003A1979">
        <w:rPr>
          <w:rFonts w:ascii="Times New Roman" w:hAnsi="Times New Roman" w:cs="Times New Roman"/>
          <w:noProof/>
          <w:color w:val="0000FF"/>
          <w:sz w:val="24"/>
          <w:szCs w:val="24"/>
        </w:rPr>
        <w:drawing>
          <wp:inline distT="0" distB="0" distL="0" distR="0">
            <wp:extent cx="9525" cy="9525"/>
            <wp:effectExtent l="0" t="0" r="0" b="0"/>
            <wp:docPr id="820" name="Picture 181" descr="previous hit">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revious hit">
                      <a:hlinkClick r:id="rId19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21" name="Picture 182" descr="next hit">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next hit">
                      <a:hlinkClick r:id="rId20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credit of $1,000 per qualifying child under the age of 17 is available on this year's return. In order to qualify for 2011, the taxpayer must be allowed a dependency deduction for the qualifying child. Another qualifying determination is that the qualifying child must be younger than you. The credit is phased out at a rate of $50 for each $1,000 (or fraction of $1,000) of modified AGI exceeding the following amounts: $110,000 for married filing jointly; $55,000 for married filing separately; and $75,000 for all other taxpayers. A portion of the credit may be refundable. For 2011, the threshold earned income level to determine refundability is set by statute at $3,000.</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Credit for Adoption Expenses</w:t>
      </w:r>
      <w:r w:rsidRPr="003A1979">
        <w:rPr>
          <w:rFonts w:ascii="Times New Roman" w:hAnsi="Times New Roman" w:cs="Times New Roman"/>
          <w:sz w:val="24"/>
          <w:szCs w:val="24"/>
        </w:rPr>
        <w:t>: For 2011, the adoption credit limitation is $13,360 of aggregate expenditures for each child, except that the credit for an adoption of a child with special needs is deemed to be $13,360 regardless of the amount of expenses. The credit ratably phases out for taxpayers whose income is between $185,210 and $225,210. For 2011, the credit is refundable. For 2012, the credit is scheduled to become nonrefundable.</w:t>
      </w:r>
    </w:p>
    <w:p w:rsidR="00243AD5" w:rsidRPr="003A1979" w:rsidRDefault="00243AD5" w:rsidP="00243AD5">
      <w:pPr>
        <w:rPr>
          <w:rFonts w:ascii="Times New Roman" w:hAnsi="Times New Roman" w:cs="Times New Roman"/>
          <w:b/>
          <w:sz w:val="24"/>
          <w:szCs w:val="24"/>
          <w:u w:val="single"/>
        </w:rPr>
      </w:pPr>
      <w:bookmarkStart w:id="88" w:name="Eduction"/>
      <w:r w:rsidRPr="003A1979">
        <w:rPr>
          <w:rFonts w:ascii="Times New Roman" w:hAnsi="Times New Roman" w:cs="Times New Roman"/>
          <w:b/>
          <w:sz w:val="24"/>
          <w:szCs w:val="24"/>
          <w:u w:val="single"/>
        </w:rPr>
        <w:lastRenderedPageBreak/>
        <w:t>Education Benefits</w:t>
      </w:r>
    </w:p>
    <w:bookmarkEnd w:id="88"/>
    <w:p w:rsidR="00243AD5" w:rsidRPr="003A1979" w:rsidRDefault="00243AD5" w:rsidP="00243AD5">
      <w:pPr>
        <w:rPr>
          <w:rStyle w:val="emphi"/>
          <w:rFonts w:ascii="Times New Roman" w:hAnsi="Times New Roman" w:cs="Times New Roman"/>
          <w:sz w:val="24"/>
          <w:szCs w:val="24"/>
        </w:rPr>
      </w:pP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HOPE Credit and Lifetime Learning Credit</w:t>
      </w:r>
      <w:r w:rsidRPr="003A1979">
        <w:rPr>
          <w:rFonts w:ascii="Times New Roman" w:hAnsi="Times New Roman" w:cs="Times New Roman"/>
          <w:sz w:val="24"/>
          <w:szCs w:val="24"/>
        </w:rPr>
        <w:t xml:space="preserve">: Back in 2009, significant changes were put in place for the HOPE, including a name change to the American Opportunity </w:t>
      </w:r>
      <w:bookmarkStart w:id="89" w:name="ctx101"/>
      <w:bookmarkEnd w:id="89"/>
      <w:r w:rsidRPr="003A1979">
        <w:rPr>
          <w:rFonts w:ascii="Times New Roman" w:hAnsi="Times New Roman" w:cs="Times New Roman"/>
          <w:noProof/>
          <w:color w:val="0000FF"/>
          <w:sz w:val="24"/>
          <w:szCs w:val="24"/>
        </w:rPr>
        <w:drawing>
          <wp:inline distT="0" distB="0" distL="0" distR="0">
            <wp:extent cx="9525" cy="9525"/>
            <wp:effectExtent l="0" t="0" r="0" b="0"/>
            <wp:docPr id="822" name="Picture 183" descr="previous hit">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revious hit">
                      <a:hlinkClick r:id="rId20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23" name="Picture 184" descr="next hit">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next hit">
                      <a:hlinkClick r:id="rId20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Credit. These changes continue for 2011. The maximum credit for 2011 is $2,500 (100% on the first $2,000, plus 25% of the next $2,000) for qualified tuition and fees paid on behalf of a student (i.e., the taxpayer, the taxpayer's spouse, or a dependent) who is enrolled on at least a half-time basis. The credit is available for the first four years of the student's post-secondary education. For 2011, the credit is phased out at modified AGI levels between $160,000 and $180,000 for joint filers, and between $80,000 and $90,000 for other taxpayers. Forty percent of the credit is refundable, which means that you can receive up to $1,000 even if you owe no taxes. The term “qualified tuition and related expenses” includes expenditures for “course materials” (books, supplies, and equipment needed for a course of study whether or not the materials are purchased from the educational institution as a condition of enrollment or attendance). One way to take advantage of the credit for 2011 is to prepay the spring 2012's tuition. In addition, if your child's books for the spring semester are known, those can be bought and the costs qualify for the credit.</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The Lifetime Learning credit maximum in 2011 is $2,000 (20% of qualified tuition and fees up to $10,000). A student need not be enrolled on at least a half-time basis so long as he or she is taking post-secondary classes to acquire or improve job skills. As with the HOPE (American Opportunity </w:t>
      </w:r>
      <w:bookmarkStart w:id="90" w:name="ctx102"/>
      <w:bookmarkEnd w:id="90"/>
      <w:r w:rsidRPr="003A1979">
        <w:rPr>
          <w:rFonts w:ascii="Times New Roman" w:hAnsi="Times New Roman" w:cs="Times New Roman"/>
          <w:noProof/>
          <w:color w:val="0000FF"/>
          <w:sz w:val="24"/>
          <w:szCs w:val="24"/>
        </w:rPr>
        <w:drawing>
          <wp:inline distT="0" distB="0" distL="0" distR="0">
            <wp:extent cx="9525" cy="9525"/>
            <wp:effectExtent l="0" t="0" r="0" b="0"/>
            <wp:docPr id="824" name="Picture 185" descr="previous hit">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revious hit">
                      <a:hlinkClick r:id="rId20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25" name="Picture 186" descr="next hit">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next hit">
                      <a:hlinkClick r:id="rId20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Credit in 2011) credit, eligible students include the taxpayer, the taxpayer's spouse, or a dependent. For 2011, the Lifetime Learning credit are phased out at modified AGI levels between $102,000 and $122,000 for joint filers, and between $51,000 and $61,000 for single taxpayers.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Coverdell Education Savings Account</w:t>
      </w:r>
      <w:r w:rsidRPr="003A1979">
        <w:rPr>
          <w:rFonts w:ascii="Times New Roman" w:hAnsi="Times New Roman" w:cs="Times New Roman"/>
          <w:sz w:val="24"/>
          <w:szCs w:val="24"/>
        </w:rPr>
        <w:t xml:space="preserve">: For 2011, the aggregate annual contribution limit to a Coverdell education savings account is $2,000 per designated beneficiary of the account. This limit is phased out for individual contributors with modified AGI between $95,000 and $110,000 and joint filers with modified AGI between $190,000 and $220,000. The contributions to the account are nondeductible but the earnings grow </w:t>
      </w:r>
      <w:bookmarkStart w:id="91" w:name="ctx103"/>
      <w:bookmarkEnd w:id="91"/>
      <w:r w:rsidRPr="003A1979">
        <w:rPr>
          <w:rFonts w:ascii="Times New Roman" w:hAnsi="Times New Roman" w:cs="Times New Roman"/>
          <w:noProof/>
          <w:color w:val="0000FF"/>
          <w:sz w:val="24"/>
          <w:szCs w:val="24"/>
        </w:rPr>
        <w:drawing>
          <wp:inline distT="0" distB="0" distL="0" distR="0">
            <wp:extent cx="9525" cy="9525"/>
            <wp:effectExtent l="0" t="0" r="0" b="0"/>
            <wp:docPr id="826" name="Picture 187" descr="previous hit">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revious hit">
                      <a:hlinkClick r:id="rId20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27" name="Picture 188" descr="next hit">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next hit">
                      <a:hlinkClick r:id="rId20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-free.</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Student Loan Interest</w:t>
      </w:r>
      <w:r w:rsidRPr="003A1979">
        <w:rPr>
          <w:rFonts w:ascii="Times New Roman" w:hAnsi="Times New Roman" w:cs="Times New Roman"/>
          <w:sz w:val="24"/>
          <w:szCs w:val="24"/>
        </w:rPr>
        <w:t xml:space="preserve">: You may be eligible for an above-the-line deduction for student loan interest paid on any “qualified education loan.” The maximum deduction is $2,500. The </w:t>
      </w:r>
      <w:r w:rsidRPr="003A1979">
        <w:rPr>
          <w:rFonts w:ascii="Times New Roman" w:hAnsi="Times New Roman" w:cs="Times New Roman"/>
          <w:sz w:val="24"/>
          <w:szCs w:val="24"/>
        </w:rPr>
        <w:lastRenderedPageBreak/>
        <w:t>deduction for 2011 is phased out at a modified AGI level between $120,000 and $150,000 for joint filers, and between $60,000 and $75,000 for individual taxpayers.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 xml:space="preserve">Kiddie </w:t>
      </w:r>
      <w:bookmarkStart w:id="92" w:name="ctx104"/>
      <w:bookmarkEnd w:id="92"/>
      <w:r w:rsidRPr="003A1979">
        <w:rPr>
          <w:rFonts w:ascii="Times New Roman" w:hAnsi="Times New Roman" w:cs="Times New Roman"/>
          <w:noProof/>
          <w:color w:val="0000FF"/>
          <w:sz w:val="24"/>
          <w:szCs w:val="24"/>
        </w:rPr>
        <w:drawing>
          <wp:inline distT="0" distB="0" distL="0" distR="0">
            <wp:extent cx="9525" cy="9525"/>
            <wp:effectExtent l="0" t="0" r="0" b="0"/>
            <wp:docPr id="828" name="Picture 189" descr="previous hit">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revious hit">
                      <a:hlinkClick r:id="rId20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29" name="Picture 190" descr="next hit">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next hit">
                      <a:hlinkClick r:id="rId20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For 2011, the kiddie </w:t>
      </w:r>
      <w:bookmarkStart w:id="93" w:name="ctx105"/>
      <w:bookmarkEnd w:id="93"/>
      <w:r w:rsidRPr="003A1979">
        <w:rPr>
          <w:rFonts w:ascii="Times New Roman" w:hAnsi="Times New Roman" w:cs="Times New Roman"/>
          <w:noProof/>
          <w:color w:val="0000FF"/>
          <w:sz w:val="24"/>
          <w:szCs w:val="24"/>
        </w:rPr>
        <w:drawing>
          <wp:inline distT="0" distB="0" distL="0" distR="0">
            <wp:extent cx="9525" cy="9525"/>
            <wp:effectExtent l="0" t="0" r="0" b="0"/>
            <wp:docPr id="830" name="Picture 191" descr="previous hit">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revious hit">
                      <a:hlinkClick r:id="rId20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31" name="Picture 192" descr="next hit">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next hit">
                      <a:hlinkClick r:id="rId21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applies to: (1) children under 18; (2) 18-</w:t>
      </w:r>
      <w:bookmarkStart w:id="94" w:name="ctx106"/>
      <w:bookmarkEnd w:id="94"/>
      <w:r w:rsidRPr="003A1979">
        <w:rPr>
          <w:rFonts w:ascii="Times New Roman" w:hAnsi="Times New Roman" w:cs="Times New Roman"/>
          <w:noProof/>
          <w:color w:val="0000FF"/>
          <w:sz w:val="24"/>
          <w:szCs w:val="24"/>
        </w:rPr>
        <w:drawing>
          <wp:inline distT="0" distB="0" distL="0" distR="0">
            <wp:extent cx="9525" cy="9525"/>
            <wp:effectExtent l="0" t="0" r="0" b="0"/>
            <wp:docPr id="832" name="Picture 193" descr="previous hit">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revious hit">
                      <a:hlinkClick r:id="rId21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33" name="Picture 194" descr="next hit">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next hit">
                      <a:hlinkClick r:id="rId21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old children who have unearned income in excess of the threshold amount, do not file a joint return and who have earned income, if any, that does not exceed one-half of the amount of the child's support; and (3) children between the ages of 19 and 23 and if, in addition to the above rules, they are full-time students. For 2011, the kiddie </w:t>
      </w:r>
      <w:bookmarkStart w:id="95" w:name="ctx107"/>
      <w:bookmarkEnd w:id="95"/>
      <w:r w:rsidRPr="003A1979">
        <w:rPr>
          <w:rFonts w:ascii="Times New Roman" w:hAnsi="Times New Roman" w:cs="Times New Roman"/>
          <w:noProof/>
          <w:color w:val="0000FF"/>
          <w:sz w:val="24"/>
          <w:szCs w:val="24"/>
        </w:rPr>
        <w:drawing>
          <wp:inline distT="0" distB="0" distL="0" distR="0">
            <wp:extent cx="9525" cy="9525"/>
            <wp:effectExtent l="0" t="0" r="0" b="0"/>
            <wp:docPr id="834" name="Picture 195" descr="previous hit">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revious hit">
                      <a:hlinkClick r:id="rId21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35" name="Picture 196" descr="next hit">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next hit">
                      <a:hlinkClick r:id="rId21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threshold amount is $1,900.</w:t>
      </w:r>
    </w:p>
    <w:p w:rsidR="00243AD5" w:rsidRPr="003A1979" w:rsidRDefault="00243AD5" w:rsidP="00243AD5">
      <w:pPr>
        <w:rPr>
          <w:rFonts w:ascii="Times New Roman" w:hAnsi="Times New Roman" w:cs="Times New Roman"/>
          <w:b/>
          <w:sz w:val="24"/>
          <w:szCs w:val="24"/>
          <w:u w:val="single"/>
        </w:rPr>
      </w:pPr>
      <w:bookmarkStart w:id="96" w:name="ENERGY"/>
      <w:r w:rsidRPr="003A1979">
        <w:rPr>
          <w:rFonts w:ascii="Times New Roman" w:hAnsi="Times New Roman" w:cs="Times New Roman"/>
          <w:b/>
          <w:sz w:val="24"/>
          <w:szCs w:val="24"/>
          <w:u w:val="single"/>
        </w:rPr>
        <w:t>Energy Incentives</w:t>
      </w:r>
    </w:p>
    <w:bookmarkEnd w:id="96"/>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Residential Energy Efficient Property Credit</w:t>
      </w:r>
      <w:r w:rsidRPr="003A1979">
        <w:rPr>
          <w:rFonts w:ascii="Times New Roman" w:hAnsi="Times New Roman" w:cs="Times New Roman"/>
          <w:sz w:val="24"/>
          <w:szCs w:val="24"/>
        </w:rPr>
        <w:t xml:space="preserve">: Until 2016, </w:t>
      </w:r>
      <w:bookmarkStart w:id="97" w:name="ctx108"/>
      <w:bookmarkEnd w:id="97"/>
      <w:r w:rsidRPr="003A1979">
        <w:rPr>
          <w:rFonts w:ascii="Times New Roman" w:hAnsi="Times New Roman" w:cs="Times New Roman"/>
          <w:noProof/>
          <w:color w:val="0000FF"/>
          <w:sz w:val="24"/>
          <w:szCs w:val="24"/>
        </w:rPr>
        <w:drawing>
          <wp:inline distT="0" distB="0" distL="0" distR="0">
            <wp:extent cx="9525" cy="9525"/>
            <wp:effectExtent l="0" t="0" r="0" b="0"/>
            <wp:docPr id="836" name="Picture 197" descr="previous hit">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revious hit">
                      <a:hlinkClick r:id="rId21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37" name="Picture 198" descr="next hit">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next hit">
                      <a:hlinkClick r:id="rId21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incentives are available to taxpayers who install certain energy efficient property, such as photovoltaic panels, solar water heating property, fuel cell property, small wind energy property and geothermal heat pumps. A credit is available for the expenditures incurred for such property up to a specific percentage, except that a cap applies for fuel cell property. The property purchased cannot be used to heat swimming pools or hot tubs. If you have made improvements to your home or plan to by the </w:t>
      </w:r>
      <w:bookmarkStart w:id="98" w:name="ctx109"/>
      <w:bookmarkEnd w:id="98"/>
      <w:r w:rsidRPr="003A1979">
        <w:rPr>
          <w:rFonts w:ascii="Times New Roman" w:hAnsi="Times New Roman" w:cs="Times New Roman"/>
          <w:noProof/>
          <w:color w:val="0000FF"/>
          <w:sz w:val="24"/>
          <w:szCs w:val="24"/>
        </w:rPr>
        <w:drawing>
          <wp:inline distT="0" distB="0" distL="0" distR="0">
            <wp:extent cx="9525" cy="9525"/>
            <wp:effectExtent l="0" t="0" r="0" b="0"/>
            <wp:docPr id="838" name="Picture 199" descr="previous hit">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revious hit">
                      <a:hlinkClick r:id="rId21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839" name="Picture 200" descr="next hit">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next hit">
                      <a:hlinkClick r:id="rId21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please contact me to discuss the amount of the credit you may qualify for.</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Nonbusiness Energy Property Credit.</w:t>
      </w:r>
      <w:r w:rsidRPr="003A1979">
        <w:rPr>
          <w:rFonts w:ascii="Times New Roman" w:hAnsi="Times New Roman" w:cs="Times New Roman"/>
          <w:sz w:val="24"/>
          <w:szCs w:val="24"/>
        </w:rPr>
        <w:t xml:space="preserve"> For 2011, property qualifying for the nonbusiness energy property credit includes windows (including skylights), exterior doors, insulation, metal roofs, advanced main air circulating fans, natural gas, propane, or oil furnace or hot water boilers, and other energy efficient building property that meets certain energy standards. For 2011, the credit is 10% of the cost of the improvement(s) up to a maximum credit of $500 (therefore, if you took any credit prior to 2011, your total cannot exceed $500). The property must be installed by the </w:t>
      </w:r>
      <w:bookmarkStart w:id="99" w:name="ctx110"/>
      <w:bookmarkEnd w:id="99"/>
      <w:r w:rsidRPr="003A1979">
        <w:rPr>
          <w:rFonts w:ascii="Times New Roman" w:hAnsi="Times New Roman" w:cs="Times New Roman"/>
          <w:noProof/>
          <w:color w:val="0000FF"/>
          <w:sz w:val="24"/>
          <w:szCs w:val="24"/>
        </w:rPr>
        <w:drawing>
          <wp:inline distT="0" distB="0" distL="0" distR="0">
            <wp:extent cx="9525" cy="9525"/>
            <wp:effectExtent l="0" t="0" r="0" b="0"/>
            <wp:docPr id="840" name="Picture 201" descr="previous hit">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revious hit">
                      <a:hlinkClick r:id="rId21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841" name="Picture 202" descr="next hit">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next hit">
                      <a:hlinkClick r:id="rId22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 to qualify. For 2011, only $200 of the credit can be applied to windows. Also, for 2011, the energy standards are relaxed. The credit expires at the </w:t>
      </w:r>
      <w:bookmarkStart w:id="100" w:name="ctx111"/>
      <w:bookmarkEnd w:id="100"/>
      <w:r w:rsidRPr="003A1979">
        <w:rPr>
          <w:rFonts w:ascii="Times New Roman" w:hAnsi="Times New Roman" w:cs="Times New Roman"/>
          <w:noProof/>
          <w:color w:val="0000FF"/>
          <w:sz w:val="24"/>
          <w:szCs w:val="24"/>
        </w:rPr>
        <w:drawing>
          <wp:inline distT="0" distB="0" distL="0" distR="0">
            <wp:extent cx="9525" cy="9525"/>
            <wp:effectExtent l="0" t="0" r="0" b="0"/>
            <wp:docPr id="842" name="Picture 203" descr="previous hit">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revious hit">
                      <a:hlinkClick r:id="rId22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843" name="Picture 204" descr="next hit">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next hit">
                      <a:hlinkClick r:id="rId22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2011.</w:t>
      </w:r>
    </w:p>
    <w:p w:rsidR="00243AD5" w:rsidRPr="003A1979" w:rsidRDefault="00243AD5" w:rsidP="00243AD5">
      <w:pPr>
        <w:rPr>
          <w:rFonts w:ascii="Times New Roman" w:hAnsi="Times New Roman" w:cs="Times New Roman"/>
          <w:b/>
          <w:sz w:val="24"/>
          <w:szCs w:val="24"/>
          <w:u w:val="single"/>
        </w:rPr>
      </w:pPr>
      <w:bookmarkStart w:id="101" w:name="Bizcreds"/>
      <w:r w:rsidRPr="003A1979">
        <w:rPr>
          <w:rFonts w:ascii="Times New Roman" w:hAnsi="Times New Roman" w:cs="Times New Roman"/>
          <w:b/>
          <w:sz w:val="24"/>
          <w:szCs w:val="24"/>
          <w:u w:val="single"/>
        </w:rPr>
        <w:t>Business Credits</w:t>
      </w:r>
    </w:p>
    <w:bookmarkEnd w:id="101"/>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Small Employer Pension Plan Startup Cost Credit</w:t>
      </w:r>
      <w:r w:rsidRPr="003A1979">
        <w:rPr>
          <w:rFonts w:ascii="Times New Roman" w:hAnsi="Times New Roman" w:cs="Times New Roman"/>
          <w:sz w:val="24"/>
          <w:szCs w:val="24"/>
        </w:rPr>
        <w:t xml:space="preserve">: For 2011, certain small business employers that did not have a pension plan for the preceding three years may claim a nonrefundable income </w:t>
      </w:r>
      <w:bookmarkStart w:id="102" w:name="ctx112"/>
      <w:bookmarkEnd w:id="102"/>
      <w:r w:rsidRPr="003A1979">
        <w:rPr>
          <w:rFonts w:ascii="Times New Roman" w:hAnsi="Times New Roman" w:cs="Times New Roman"/>
          <w:noProof/>
          <w:color w:val="0000FF"/>
          <w:sz w:val="24"/>
          <w:szCs w:val="24"/>
        </w:rPr>
        <w:drawing>
          <wp:inline distT="0" distB="0" distL="0" distR="0">
            <wp:extent cx="9525" cy="9525"/>
            <wp:effectExtent l="0" t="0" r="0" b="0"/>
            <wp:docPr id="844" name="Picture 205" descr="previous hit">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revious hit">
                      <a:hlinkClick r:id="rId22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45" name="Picture 206" descr="next hit">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next hit">
                      <a:hlinkClick r:id="rId22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credit for expenses of establishing and administering a new retirement plan for employees. The credit applies to 50% in qualified administrative and retirement-education expenses for each of the first three plan years. However, the maximum credit is $500 per </w:t>
      </w:r>
      <w:bookmarkStart w:id="103" w:name="ctx113"/>
      <w:bookmarkEnd w:id="103"/>
      <w:r w:rsidRPr="003A1979">
        <w:rPr>
          <w:rFonts w:ascii="Times New Roman" w:hAnsi="Times New Roman" w:cs="Times New Roman"/>
          <w:noProof/>
          <w:color w:val="0000FF"/>
          <w:sz w:val="24"/>
          <w:szCs w:val="24"/>
        </w:rPr>
        <w:drawing>
          <wp:inline distT="0" distB="0" distL="0" distR="0">
            <wp:extent cx="9525" cy="9525"/>
            <wp:effectExtent l="0" t="0" r="0" b="0"/>
            <wp:docPr id="846" name="Picture 207" descr="previous hit">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revious hit">
                      <a:hlinkClick r:id="rId22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47" name="Picture 208" descr="next hit">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next hit">
                      <a:hlinkClick r:id="rId22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lastRenderedPageBreak/>
        <w:t>Employer-Provided Child Care Credit</w:t>
      </w:r>
      <w:r w:rsidRPr="003A1979">
        <w:rPr>
          <w:rFonts w:ascii="Times New Roman" w:hAnsi="Times New Roman" w:cs="Times New Roman"/>
          <w:sz w:val="24"/>
          <w:szCs w:val="24"/>
        </w:rPr>
        <w:t>: For 2011, employers may claim a credit of up to $150,000 for supporting employee child care or child care resource and referral services. The credit is allowed for a percentage of “qualified child care expenditures” including for property to be used as part of a qualified child care facility, for operating costs of a qualified child care facility and for resource and referral expenditures.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Work Opportunity Credit</w:t>
      </w:r>
      <w:r w:rsidRPr="003A1979">
        <w:rPr>
          <w:rFonts w:ascii="Times New Roman" w:hAnsi="Times New Roman" w:cs="Times New Roman"/>
          <w:sz w:val="24"/>
          <w:szCs w:val="24"/>
        </w:rPr>
        <w:t xml:space="preserve">: The work opportunity credit is an incentive provided to employers who hire individuals in groups whose members historically have had difficulty obtaining employment. This gives your business an expanded opportunity to employ new workers and be eligible for a </w:t>
      </w:r>
      <w:bookmarkStart w:id="104" w:name="ctx114"/>
      <w:bookmarkEnd w:id="104"/>
      <w:r w:rsidRPr="003A1979">
        <w:rPr>
          <w:rFonts w:ascii="Times New Roman" w:hAnsi="Times New Roman" w:cs="Times New Roman"/>
          <w:noProof/>
          <w:color w:val="0000FF"/>
          <w:sz w:val="24"/>
          <w:szCs w:val="24"/>
        </w:rPr>
        <w:drawing>
          <wp:inline distT="0" distB="0" distL="0" distR="0">
            <wp:extent cx="9525" cy="9525"/>
            <wp:effectExtent l="0" t="0" r="0" b="0"/>
            <wp:docPr id="848" name="Picture 209" descr="previous hit">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revious hit">
                      <a:hlinkClick r:id="rId22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49" name="Picture 210" descr="next hit">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next hit">
                      <a:hlinkClick r:id="rId22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credit against the wages paid. Wages paid after 2011 are not eligible for the credit.</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Credit for Employee Health Insurance Expenses of Small Employers</w:t>
      </w:r>
      <w:r w:rsidRPr="003A1979">
        <w:rPr>
          <w:rFonts w:ascii="Times New Roman" w:hAnsi="Times New Roman" w:cs="Times New Roman"/>
          <w:sz w:val="24"/>
          <w:szCs w:val="24"/>
        </w:rPr>
        <w:t xml:space="preserve">: For </w:t>
      </w:r>
      <w:bookmarkStart w:id="105" w:name="ctx115"/>
      <w:bookmarkEnd w:id="105"/>
      <w:r w:rsidRPr="003A1979">
        <w:rPr>
          <w:rFonts w:ascii="Times New Roman" w:hAnsi="Times New Roman" w:cs="Times New Roman"/>
          <w:noProof/>
          <w:color w:val="0000FF"/>
          <w:sz w:val="24"/>
          <w:szCs w:val="24"/>
        </w:rPr>
        <w:drawing>
          <wp:inline distT="0" distB="0" distL="0" distR="0">
            <wp:extent cx="9525" cy="9525"/>
            <wp:effectExtent l="0" t="0" r="0" b="0"/>
            <wp:docPr id="850" name="Picture 211" descr="previous hit">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revious hit">
                      <a:hlinkClick r:id="rId22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51" name="Picture 212" descr="next hit">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next hit">
                      <a:hlinkClick r:id="rId23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years beginning after 2009, eligible small employers are allowed a credit for certain expenditures to provide health insurance coverage for its employees. Generally, employers with 10 or fewer full-time equivalent employees (FTEs) and an average annual per-employee wage of $25,000 or less are eligible for the full credit. The credit amount begins to phase out for employers with either 11 FTEs or an average annual per-employee wage of more than $25,000. The credit is phased out completely for employers with 25 or more FTEs or an average annual per-employee wage of $50,000 or more. The credit amount is 35% of certain contributions made to purchase health insurance.</w:t>
      </w:r>
    </w:p>
    <w:p w:rsidR="00243AD5" w:rsidRPr="003A1979" w:rsidRDefault="00243AD5" w:rsidP="00243AD5">
      <w:pPr>
        <w:rPr>
          <w:rFonts w:ascii="Times New Roman" w:hAnsi="Times New Roman" w:cs="Times New Roman"/>
          <w:b/>
          <w:sz w:val="24"/>
          <w:szCs w:val="24"/>
          <w:u w:val="single"/>
        </w:rPr>
      </w:pPr>
      <w:bookmarkStart w:id="106" w:name="InvPlnning"/>
      <w:r w:rsidRPr="003A1979">
        <w:rPr>
          <w:rFonts w:ascii="Times New Roman" w:hAnsi="Times New Roman" w:cs="Times New Roman"/>
          <w:b/>
          <w:sz w:val="24"/>
          <w:szCs w:val="24"/>
          <w:u w:val="single"/>
        </w:rPr>
        <w:t xml:space="preserve">Investment </w:t>
      </w:r>
      <w:bookmarkStart w:id="107" w:name="ctx116"/>
      <w:bookmarkEnd w:id="107"/>
      <w:r w:rsidRPr="003A1979">
        <w:rPr>
          <w:rFonts w:ascii="Times New Roman" w:hAnsi="Times New Roman" w:cs="Times New Roman"/>
          <w:b/>
          <w:noProof/>
          <w:color w:val="0000FF"/>
          <w:sz w:val="24"/>
          <w:szCs w:val="24"/>
          <w:u w:val="single"/>
        </w:rPr>
        <w:drawing>
          <wp:inline distT="0" distB="0" distL="0" distR="0">
            <wp:extent cx="9525" cy="9525"/>
            <wp:effectExtent l="0" t="0" r="0" b="0"/>
            <wp:docPr id="852" name="Picture 213"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revious hit">
                      <a:hlinkClick r:id="rId1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b/>
          <w:sz w:val="24"/>
          <w:szCs w:val="24"/>
          <w:u w:val="single"/>
        </w:rPr>
        <w:t>Planning</w:t>
      </w:r>
      <w:r w:rsidRPr="003A1979">
        <w:rPr>
          <w:rFonts w:ascii="Times New Roman" w:hAnsi="Times New Roman" w:cs="Times New Roman"/>
          <w:b/>
          <w:noProof/>
          <w:color w:val="0000FF"/>
          <w:sz w:val="24"/>
          <w:szCs w:val="24"/>
          <w:u w:val="single"/>
        </w:rPr>
        <w:drawing>
          <wp:inline distT="0" distB="0" distL="0" distR="0">
            <wp:extent cx="9525" cy="9525"/>
            <wp:effectExtent l="0" t="0" r="0" b="0"/>
            <wp:docPr id="853" name="Picture 214"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next hit">
                      <a:hlinkClick r:id="rId1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bookmarkEnd w:id="106"/>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The following rules apply for most capital assets in 2011:</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 Capital gains on property held one </w:t>
      </w:r>
      <w:bookmarkStart w:id="108" w:name="ctx117"/>
      <w:bookmarkEnd w:id="108"/>
      <w:r w:rsidRPr="003A1979">
        <w:rPr>
          <w:rFonts w:ascii="Times New Roman" w:hAnsi="Times New Roman" w:cs="Times New Roman"/>
          <w:noProof/>
          <w:color w:val="0000FF"/>
          <w:sz w:val="24"/>
          <w:szCs w:val="24"/>
        </w:rPr>
        <w:drawing>
          <wp:inline distT="0" distB="0" distL="0" distR="0">
            <wp:extent cx="9525" cy="9525"/>
            <wp:effectExtent l="0" t="0" r="0" b="0"/>
            <wp:docPr id="854" name="Picture 215" descr="previous hit">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revious hit">
                      <a:hlinkClick r:id="rId23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55" name="Picture 216" descr="next hit">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next hit">
                      <a:hlinkClick r:id="rId23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or less are taxed at an individual's ordinary income </w:t>
      </w:r>
      <w:bookmarkStart w:id="109" w:name="ctx118"/>
      <w:bookmarkEnd w:id="109"/>
      <w:r w:rsidRPr="003A1979">
        <w:rPr>
          <w:rFonts w:ascii="Times New Roman" w:hAnsi="Times New Roman" w:cs="Times New Roman"/>
          <w:noProof/>
          <w:color w:val="0000FF"/>
          <w:sz w:val="24"/>
          <w:szCs w:val="24"/>
        </w:rPr>
        <w:drawing>
          <wp:inline distT="0" distB="0" distL="0" distR="0">
            <wp:extent cx="9525" cy="9525"/>
            <wp:effectExtent l="0" t="0" r="0" b="0"/>
            <wp:docPr id="856" name="Picture 217" descr="previous hit">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revious hit">
                      <a:hlinkClick r:id="rId23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57" name="Picture 218" descr="next hit">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next hit">
                      <a:hlinkClick r:id="rId23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rate.</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 Capital gains on property held for more than one </w:t>
      </w:r>
      <w:bookmarkStart w:id="110" w:name="ctx119"/>
      <w:bookmarkEnd w:id="110"/>
      <w:r w:rsidRPr="003A1979">
        <w:rPr>
          <w:rFonts w:ascii="Times New Roman" w:hAnsi="Times New Roman" w:cs="Times New Roman"/>
          <w:noProof/>
          <w:color w:val="0000FF"/>
          <w:sz w:val="24"/>
          <w:szCs w:val="24"/>
        </w:rPr>
        <w:drawing>
          <wp:inline distT="0" distB="0" distL="0" distR="0">
            <wp:extent cx="9525" cy="9525"/>
            <wp:effectExtent l="0" t="0" r="0" b="0"/>
            <wp:docPr id="858" name="Picture 219" descr="previous hit">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revious hit">
                      <a:hlinkClick r:id="rId23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59" name="Picture 220" descr="next hit">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next hit">
                      <a:hlinkClick r:id="rId23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are taxed at a maximum rate of 15% (0% if an individual is in the 10% or 15% marginal </w:t>
      </w:r>
      <w:bookmarkStart w:id="111" w:name="ctx120"/>
      <w:bookmarkEnd w:id="111"/>
      <w:r w:rsidRPr="003A1979">
        <w:rPr>
          <w:rFonts w:ascii="Times New Roman" w:hAnsi="Times New Roman" w:cs="Times New Roman"/>
          <w:noProof/>
          <w:color w:val="0000FF"/>
          <w:sz w:val="24"/>
          <w:szCs w:val="24"/>
        </w:rPr>
        <w:drawing>
          <wp:inline distT="0" distB="0" distL="0" distR="0">
            <wp:extent cx="9525" cy="9525"/>
            <wp:effectExtent l="0" t="0" r="0" b="0"/>
            <wp:docPr id="860" name="Picture 221" descr="previous hit">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revious hit">
                      <a:hlinkClick r:id="rId23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61" name="Picture 222" descr="next hit">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next hit">
                      <a:hlinkClick r:id="rId23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bracket).</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Note that Congress did extend the reduced capital gains rates, through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Timing of Sales</w:t>
      </w:r>
      <w:r w:rsidRPr="003A1979">
        <w:rPr>
          <w:rFonts w:ascii="Times New Roman" w:hAnsi="Times New Roman" w:cs="Times New Roman"/>
          <w:sz w:val="24"/>
          <w:szCs w:val="24"/>
        </w:rPr>
        <w:t xml:space="preserve">: You may want to time the sale of assets so as to have offsetting capital losses and gains. Capital losses may be fully deducted against capital gains and also may offset up to </w:t>
      </w:r>
      <w:r w:rsidRPr="003A1979">
        <w:rPr>
          <w:rFonts w:ascii="Times New Roman" w:hAnsi="Times New Roman" w:cs="Times New Roman"/>
          <w:sz w:val="24"/>
          <w:szCs w:val="24"/>
        </w:rPr>
        <w:lastRenderedPageBreak/>
        <w:t>$3,000 of ordinary income ($1,500 for married filing separately). In general, when you take losses, you must first match your long-term losses against your long-term gains, and short-term losses against short-term gains. If there are any remaining losses, you may use them to offset any remaining long-term or short-term gains, or up to $3,000 (or $1,500) of ordinary income. When and whether to recognize such losses should be analyzed in light of the possible future changes in the capital gains rates applicable to your specific investments.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Dividends</w:t>
      </w:r>
      <w:r w:rsidRPr="003A1979">
        <w:rPr>
          <w:rFonts w:ascii="Times New Roman" w:hAnsi="Times New Roman" w:cs="Times New Roman"/>
          <w:sz w:val="24"/>
          <w:szCs w:val="24"/>
        </w:rPr>
        <w:t>: Qualifying dividends received in 2011 are subject to rates similar to the capital gains rates. Therefore, qualifying dividends are taxed at a maximum rate of 15%. Qualifying dividends include dividends received from domestic and certain foreign corporations. Note that Congress did extend the reduced dividend rates through 2012.</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Social Security</w:t>
      </w:r>
      <w:r w:rsidRPr="003A1979">
        <w:rPr>
          <w:rFonts w:ascii="Times New Roman" w:hAnsi="Times New Roman" w:cs="Times New Roman"/>
          <w:sz w:val="24"/>
          <w:szCs w:val="24"/>
        </w:rPr>
        <w:t>: Depending on the recipient's modified AGI and the amount of Social Security benefits, a percentage — up to 85% — of Social Security benefits may be taxed. To reduce that percentage, it may be beneficial to defer receipt of other retirement income. One way to do so is to elect to receive a lump sum distribution from a retirement plan and to rollover that distribution into an IRA. Alternatively, it may be beneficial to accelerate income so as to reduce the percentage of your Social Security taxed in 2012 and later years.</w:t>
      </w:r>
    </w:p>
    <w:p w:rsidR="00243AD5" w:rsidRPr="003A1979" w:rsidRDefault="00243AD5" w:rsidP="00243AD5">
      <w:pPr>
        <w:rPr>
          <w:rFonts w:ascii="Times New Roman" w:hAnsi="Times New Roman" w:cs="Times New Roman"/>
          <w:sz w:val="24"/>
          <w:szCs w:val="24"/>
        </w:rPr>
      </w:pPr>
      <w:r w:rsidRPr="003A1979">
        <w:rPr>
          <w:rStyle w:val="emphi"/>
          <w:rFonts w:ascii="Times New Roman" w:hAnsi="Times New Roman" w:cs="Times New Roman"/>
          <w:sz w:val="24"/>
          <w:szCs w:val="24"/>
        </w:rPr>
        <w:t xml:space="preserve">Other </w:t>
      </w:r>
      <w:bookmarkStart w:id="112" w:name="ctx121"/>
      <w:bookmarkEnd w:id="112"/>
      <w:r w:rsidRPr="003A1979">
        <w:rPr>
          <w:rFonts w:ascii="Times New Roman" w:hAnsi="Times New Roman" w:cs="Times New Roman"/>
          <w:noProof/>
          <w:color w:val="0000FF"/>
          <w:sz w:val="24"/>
          <w:szCs w:val="24"/>
        </w:rPr>
        <w:drawing>
          <wp:inline distT="0" distB="0" distL="0" distR="0">
            <wp:extent cx="9525" cy="9525"/>
            <wp:effectExtent l="0" t="0" r="0" b="0"/>
            <wp:docPr id="862" name="Picture 223" descr="previous hit">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revious hit">
                      <a:hlinkClick r:id="rId23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63" name="Picture 224" descr="next hit">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next hit">
                      <a:hlinkClick r:id="rId24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 xml:space="preserve"> </w:t>
      </w:r>
      <w:bookmarkStart w:id="113" w:name="ctx122"/>
      <w:bookmarkEnd w:id="113"/>
      <w:r w:rsidRPr="003A1979">
        <w:rPr>
          <w:rFonts w:ascii="Times New Roman" w:hAnsi="Times New Roman" w:cs="Times New Roman"/>
          <w:noProof/>
          <w:color w:val="0000FF"/>
          <w:sz w:val="24"/>
          <w:szCs w:val="24"/>
        </w:rPr>
        <w:drawing>
          <wp:inline distT="0" distB="0" distL="0" distR="0">
            <wp:extent cx="9525" cy="9525"/>
            <wp:effectExtent l="0" t="0" r="0" b="0"/>
            <wp:docPr id="864" name="Picture 225" descr="previous hit">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revious hit">
                      <a:hlinkClick r:id="rId24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865" name="Picture 226" descr="next hit">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next hit">
                      <a:hlinkClick r:id="rId24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emphi"/>
          <w:rFonts w:ascii="Times New Roman" w:hAnsi="Times New Roman" w:cs="Times New Roman"/>
          <w:sz w:val="24"/>
          <w:szCs w:val="24"/>
        </w:rPr>
        <w:t xml:space="preserve"> Opportunities</w:t>
      </w:r>
      <w:r w:rsidRPr="003A1979">
        <w:rPr>
          <w:rFonts w:ascii="Times New Roman" w:hAnsi="Times New Roman" w:cs="Times New Roman"/>
          <w:sz w:val="24"/>
          <w:szCs w:val="24"/>
        </w:rPr>
        <w:t xml:space="preserve">: We also can discuss the potential benefits to you or your family members of other </w:t>
      </w:r>
      <w:bookmarkStart w:id="114" w:name="ctx123"/>
      <w:bookmarkEnd w:id="114"/>
      <w:r w:rsidRPr="003A1979">
        <w:rPr>
          <w:rFonts w:ascii="Times New Roman" w:hAnsi="Times New Roman" w:cs="Times New Roman"/>
          <w:noProof/>
          <w:color w:val="0000FF"/>
          <w:sz w:val="24"/>
          <w:szCs w:val="24"/>
        </w:rPr>
        <w:drawing>
          <wp:inline distT="0" distB="0" distL="0" distR="0">
            <wp:extent cx="9525" cy="9525"/>
            <wp:effectExtent l="0" t="0" r="0" b="0"/>
            <wp:docPr id="866" name="Picture 227" descr="previous hit">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revious hit">
                      <a:hlinkClick r:id="rId24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867" name="Picture 228" descr="next hit">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next hit">
                      <a:hlinkClick r:id="rId24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options available for 2011, including </w:t>
      </w:r>
      <w:hyperlink r:id="rId245" w:tgtFrame="_top" w:history="1">
        <w:r w:rsidRPr="003A1979">
          <w:rPr>
            <w:rStyle w:val="Hyperlink"/>
            <w:rFonts w:ascii="Times New Roman" w:hAnsi="Times New Roman" w:cs="Times New Roman"/>
            <w:sz w:val="24"/>
            <w:szCs w:val="24"/>
          </w:rPr>
          <w:t>§529</w:t>
        </w:r>
      </w:hyperlink>
      <w:r w:rsidRPr="003A1979">
        <w:rPr>
          <w:rFonts w:ascii="Times New Roman" w:hAnsi="Times New Roman" w:cs="Times New Roman"/>
          <w:sz w:val="24"/>
          <w:szCs w:val="24"/>
        </w:rPr>
        <w:t xml:space="preserve"> qualified tuition programs.</w:t>
      </w:r>
    </w:p>
    <w:p w:rsidR="00243AD5" w:rsidRPr="003A1979" w:rsidRDefault="00243AD5" w:rsidP="00243AD5">
      <w:pPr>
        <w:rPr>
          <w:rFonts w:ascii="Times New Roman" w:hAnsi="Times New Roman" w:cs="Times New Roman"/>
          <w:b/>
          <w:sz w:val="24"/>
          <w:szCs w:val="24"/>
          <w:u w:val="single"/>
        </w:rPr>
      </w:pPr>
      <w:bookmarkStart w:id="115" w:name="AMT"/>
      <w:r w:rsidRPr="003A1979">
        <w:rPr>
          <w:rFonts w:ascii="Times New Roman" w:hAnsi="Times New Roman" w:cs="Times New Roman"/>
          <w:b/>
          <w:sz w:val="24"/>
          <w:szCs w:val="24"/>
          <w:u w:val="single"/>
        </w:rPr>
        <w:t xml:space="preserve">Alternative Minimum </w:t>
      </w:r>
      <w:bookmarkStart w:id="116" w:name="ctx124"/>
      <w:bookmarkEnd w:id="116"/>
      <w:r w:rsidRPr="003A1979">
        <w:rPr>
          <w:rFonts w:ascii="Times New Roman" w:hAnsi="Times New Roman" w:cs="Times New Roman"/>
          <w:b/>
          <w:noProof/>
          <w:color w:val="0000FF"/>
          <w:sz w:val="24"/>
          <w:szCs w:val="24"/>
          <w:u w:val="single"/>
        </w:rPr>
        <w:drawing>
          <wp:inline distT="0" distB="0" distL="0" distR="0">
            <wp:extent cx="9525" cy="9525"/>
            <wp:effectExtent l="0" t="0" r="0" b="0"/>
            <wp:docPr id="868" name="Picture 229"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revious hit">
                      <a:hlinkClick r:id="rId1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b/>
          <w:sz w:val="24"/>
          <w:szCs w:val="24"/>
          <w:u w:val="single"/>
        </w:rPr>
        <w:t>Tax</w:t>
      </w:r>
      <w:r w:rsidRPr="003A1979">
        <w:rPr>
          <w:rFonts w:ascii="Times New Roman" w:hAnsi="Times New Roman" w:cs="Times New Roman"/>
          <w:b/>
          <w:noProof/>
          <w:color w:val="0000FF"/>
          <w:sz w:val="24"/>
          <w:szCs w:val="24"/>
          <w:u w:val="single"/>
        </w:rPr>
        <w:drawing>
          <wp:inline distT="0" distB="0" distL="0" distR="0">
            <wp:extent cx="9525" cy="9525"/>
            <wp:effectExtent l="0" t="0" r="0" b="0"/>
            <wp:docPr id="869" name="Picture 230"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next hit">
                      <a:hlinkClick r:id="rId1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bookmarkEnd w:id="115"/>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For 2011, the alternative minimum </w:t>
      </w:r>
      <w:bookmarkStart w:id="117" w:name="ctx125"/>
      <w:bookmarkEnd w:id="117"/>
      <w:r w:rsidRPr="003A1979">
        <w:rPr>
          <w:rFonts w:ascii="Times New Roman" w:hAnsi="Times New Roman" w:cs="Times New Roman"/>
          <w:noProof/>
          <w:color w:val="0000FF"/>
          <w:sz w:val="24"/>
          <w:szCs w:val="24"/>
        </w:rPr>
        <w:drawing>
          <wp:inline distT="0" distB="0" distL="0" distR="0">
            <wp:extent cx="9525" cy="9525"/>
            <wp:effectExtent l="0" t="0" r="0" b="0"/>
            <wp:docPr id="870" name="Picture 231" descr="previous hit">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previous hit">
                      <a:hlinkClick r:id="rId24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71" name="Picture 232" descr="next hit">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next hit">
                      <a:hlinkClick r:id="rId24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exemption amounts will remain high enough to spare millions of taxpayers from the AMT effect. The exemption amounts in place for 2011 are: (1) $74,450 for married individuals filing jointly and for surviving spouses; (2) $48,450, for unmarried individuals other than surviving spouses; and (3) $37,225 for married individuals filing a separate return. Also, for 2011, nonrefundable personal credits can offset an individual's regular and alternative minimum </w:t>
      </w:r>
      <w:bookmarkStart w:id="118" w:name="ctx126"/>
      <w:bookmarkEnd w:id="118"/>
      <w:r w:rsidRPr="003A1979">
        <w:rPr>
          <w:rFonts w:ascii="Times New Roman" w:hAnsi="Times New Roman" w:cs="Times New Roman"/>
          <w:noProof/>
          <w:color w:val="0000FF"/>
          <w:sz w:val="24"/>
          <w:szCs w:val="24"/>
        </w:rPr>
        <w:drawing>
          <wp:inline distT="0" distB="0" distL="0" distR="0">
            <wp:extent cx="9525" cy="9525"/>
            <wp:effectExtent l="0" t="0" r="0" b="0"/>
            <wp:docPr id="872" name="Picture 233" descr="previous hit">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revious hit">
                      <a:hlinkClick r:id="rId24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73" name="Picture 234" descr="next hit">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next hit">
                      <a:hlinkClick r:id="rId24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t xml:space="preserve">Some of the standard </w:t>
      </w:r>
      <w:bookmarkStart w:id="119" w:name="ctx127"/>
      <w:bookmarkEnd w:id="119"/>
      <w:r w:rsidRPr="003A1979">
        <w:rPr>
          <w:rFonts w:ascii="Times New Roman" w:hAnsi="Times New Roman" w:cs="Times New Roman"/>
          <w:noProof/>
          <w:color w:val="0000FF"/>
          <w:sz w:val="24"/>
          <w:szCs w:val="24"/>
        </w:rPr>
        <w:drawing>
          <wp:inline distT="0" distB="0" distL="0" distR="0">
            <wp:extent cx="9525" cy="9525"/>
            <wp:effectExtent l="0" t="0" r="0" b="0"/>
            <wp:docPr id="874" name="Picture 235" descr="previous hit">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revious hit">
                      <a:hlinkClick r:id="rId25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75" name="Picture 236" descr="next hit">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next hit">
                      <a:hlinkClick r:id="rId25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w:t>
      </w:r>
      <w:bookmarkStart w:id="120" w:name="ctx128"/>
      <w:bookmarkEnd w:id="120"/>
      <w:r w:rsidRPr="003A1979">
        <w:rPr>
          <w:rFonts w:ascii="Times New Roman" w:hAnsi="Times New Roman" w:cs="Times New Roman"/>
          <w:noProof/>
          <w:color w:val="0000FF"/>
          <w:sz w:val="24"/>
          <w:szCs w:val="24"/>
        </w:rPr>
        <w:drawing>
          <wp:inline distT="0" distB="0" distL="0" distR="0">
            <wp:extent cx="9525" cy="9525"/>
            <wp:effectExtent l="0" t="0" r="0" b="0"/>
            <wp:docPr id="876" name="Picture 237" descr="previous hit">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revious hit">
                      <a:hlinkClick r:id="rId25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877" name="Picture 238" descr="next hit">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next hit">
                      <a:hlinkClick r:id="rId25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w:t>
      </w:r>
      <w:bookmarkStart w:id="121" w:name="ctx129"/>
      <w:bookmarkEnd w:id="121"/>
      <w:r w:rsidRPr="003A1979">
        <w:rPr>
          <w:rFonts w:ascii="Times New Roman" w:hAnsi="Times New Roman" w:cs="Times New Roman"/>
          <w:noProof/>
          <w:color w:val="0000FF"/>
          <w:sz w:val="24"/>
          <w:szCs w:val="24"/>
        </w:rPr>
        <w:drawing>
          <wp:inline distT="0" distB="0" distL="0" distR="0">
            <wp:extent cx="9525" cy="9525"/>
            <wp:effectExtent l="0" t="0" r="0" b="0"/>
            <wp:docPr id="878" name="Picture 239" descr="previous hit">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revious hit">
                      <a:hlinkClick r:id="rId25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planning</w:t>
      </w:r>
      <w:r w:rsidRPr="003A1979">
        <w:rPr>
          <w:rFonts w:ascii="Times New Roman" w:hAnsi="Times New Roman" w:cs="Times New Roman"/>
          <w:noProof/>
          <w:color w:val="0000FF"/>
          <w:sz w:val="24"/>
          <w:szCs w:val="24"/>
        </w:rPr>
        <w:drawing>
          <wp:inline distT="0" distB="0" distL="0" distR="0">
            <wp:extent cx="9525" cy="9525"/>
            <wp:effectExtent l="0" t="0" r="0" b="0"/>
            <wp:docPr id="879" name="Picture 240" descr="next hit">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next hit">
                      <a:hlinkClick r:id="rId25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ideas will not reduce </w:t>
      </w:r>
      <w:bookmarkStart w:id="122" w:name="ctx130"/>
      <w:bookmarkEnd w:id="122"/>
      <w:r w:rsidRPr="003A1979">
        <w:rPr>
          <w:rFonts w:ascii="Times New Roman" w:hAnsi="Times New Roman" w:cs="Times New Roman"/>
          <w:noProof/>
          <w:color w:val="0000FF"/>
          <w:sz w:val="24"/>
          <w:szCs w:val="24"/>
        </w:rPr>
        <w:drawing>
          <wp:inline distT="0" distB="0" distL="0" distR="0">
            <wp:extent cx="9525" cy="9525"/>
            <wp:effectExtent l="0" t="0" r="0" b="0"/>
            <wp:docPr id="880" name="Picture 241" descr="previous hit">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revious hit">
                      <a:hlinkClick r:id="rId256"/>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81" name="Picture 242" descr="next hit">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ext hit">
                      <a:hlinkClick r:id="rId25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liability if you are subject to the alternative minimum </w:t>
      </w:r>
      <w:bookmarkStart w:id="123" w:name="ctx131"/>
      <w:bookmarkEnd w:id="123"/>
      <w:r w:rsidRPr="003A1979">
        <w:rPr>
          <w:rFonts w:ascii="Times New Roman" w:hAnsi="Times New Roman" w:cs="Times New Roman"/>
          <w:noProof/>
          <w:color w:val="0000FF"/>
          <w:sz w:val="24"/>
          <w:szCs w:val="24"/>
        </w:rPr>
        <w:drawing>
          <wp:inline distT="0" distB="0" distL="0" distR="0">
            <wp:extent cx="9525" cy="9525"/>
            <wp:effectExtent l="0" t="0" r="0" b="0"/>
            <wp:docPr id="882" name="Picture 243" descr="previous hit">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revious hit">
                      <a:hlinkClick r:id="rId258"/>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83" name="Picture 244" descr="next hit">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next hit">
                      <a:hlinkClick r:id="rId25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(AMT) because different rules apply. Because of the complexity of the AMT, it would be wise for us to analyze your AMT exposure.</w:t>
      </w:r>
    </w:p>
    <w:p w:rsidR="00243AD5" w:rsidRPr="003A1979" w:rsidRDefault="00243AD5" w:rsidP="00243AD5">
      <w:pPr>
        <w:rPr>
          <w:rFonts w:ascii="Times New Roman" w:hAnsi="Times New Roman" w:cs="Times New Roman"/>
          <w:sz w:val="24"/>
          <w:szCs w:val="24"/>
        </w:rPr>
      </w:pPr>
      <w:r w:rsidRPr="003A1979">
        <w:rPr>
          <w:rFonts w:ascii="Times New Roman" w:hAnsi="Times New Roman" w:cs="Times New Roman"/>
          <w:sz w:val="24"/>
          <w:szCs w:val="24"/>
        </w:rPr>
        <w:lastRenderedPageBreak/>
        <w:t xml:space="preserve">If you have any questions, please do not hesitate to call. I would be happy to meet with you at your convenience to discuss the strategies outlined above. While we are getting very close to the </w:t>
      </w:r>
      <w:bookmarkStart w:id="124" w:name="ctx132"/>
      <w:bookmarkEnd w:id="124"/>
      <w:r w:rsidRPr="003A1979">
        <w:rPr>
          <w:rFonts w:ascii="Times New Roman" w:hAnsi="Times New Roman" w:cs="Times New Roman"/>
          <w:noProof/>
          <w:color w:val="0000FF"/>
          <w:sz w:val="24"/>
          <w:szCs w:val="24"/>
        </w:rPr>
        <w:drawing>
          <wp:inline distT="0" distB="0" distL="0" distR="0">
            <wp:extent cx="9525" cy="9525"/>
            <wp:effectExtent l="0" t="0" r="0" b="0"/>
            <wp:docPr id="884" name="Picture 245" descr="previous hit">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revious hit">
                      <a:hlinkClick r:id="rId26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end</w:t>
      </w:r>
      <w:r w:rsidRPr="003A1979">
        <w:rPr>
          <w:rFonts w:ascii="Times New Roman" w:hAnsi="Times New Roman" w:cs="Times New Roman"/>
          <w:noProof/>
          <w:color w:val="0000FF"/>
          <w:sz w:val="24"/>
          <w:szCs w:val="24"/>
        </w:rPr>
        <w:drawing>
          <wp:inline distT="0" distB="0" distL="0" distR="0">
            <wp:extent cx="9525" cy="9525"/>
            <wp:effectExtent l="0" t="0" r="0" b="0"/>
            <wp:docPr id="885" name="Picture 246" descr="next hit">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next hit">
                      <a:hlinkClick r:id="rId26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of the </w:t>
      </w:r>
      <w:bookmarkStart w:id="125" w:name="ctx133"/>
      <w:bookmarkEnd w:id="125"/>
      <w:r w:rsidRPr="003A1979">
        <w:rPr>
          <w:rFonts w:ascii="Times New Roman" w:hAnsi="Times New Roman" w:cs="Times New Roman"/>
          <w:noProof/>
          <w:color w:val="0000FF"/>
          <w:sz w:val="24"/>
          <w:szCs w:val="24"/>
        </w:rPr>
        <w:drawing>
          <wp:inline distT="0" distB="0" distL="0" distR="0">
            <wp:extent cx="9525" cy="9525"/>
            <wp:effectExtent l="0" t="0" r="0" b="0"/>
            <wp:docPr id="886" name="Picture 247" descr="previous hit">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revious hit">
                      <a:hlinkClick r:id="rId262"/>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year</w:t>
      </w:r>
      <w:r w:rsidRPr="003A1979">
        <w:rPr>
          <w:rFonts w:ascii="Times New Roman" w:hAnsi="Times New Roman" w:cs="Times New Roman"/>
          <w:noProof/>
          <w:color w:val="0000FF"/>
          <w:sz w:val="24"/>
          <w:szCs w:val="24"/>
        </w:rPr>
        <w:drawing>
          <wp:inline distT="0" distB="0" distL="0" distR="0">
            <wp:extent cx="9525" cy="9525"/>
            <wp:effectExtent l="0" t="0" r="0" b="0"/>
            <wp:docPr id="887" name="Picture 248" descr="next hit">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next hit">
                      <a:hlinkClick r:id="rId263"/>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there is still time to implement these strategies to minimize your 2011 </w:t>
      </w:r>
      <w:bookmarkStart w:id="126" w:name="ctx134"/>
      <w:bookmarkEnd w:id="126"/>
      <w:r w:rsidRPr="003A1979">
        <w:rPr>
          <w:rFonts w:ascii="Times New Roman" w:hAnsi="Times New Roman" w:cs="Times New Roman"/>
          <w:noProof/>
          <w:color w:val="0000FF"/>
          <w:sz w:val="24"/>
          <w:szCs w:val="24"/>
        </w:rPr>
        <w:drawing>
          <wp:inline distT="0" distB="0" distL="0" distR="0">
            <wp:extent cx="9525" cy="9525"/>
            <wp:effectExtent l="0" t="0" r="0" b="0"/>
            <wp:docPr id="888" name="Picture 249" descr="previous hit">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revious hit">
                      <a:hlinkClick r:id="rId264"/>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Style w:val="displayhltext"/>
          <w:rFonts w:ascii="Times New Roman" w:hAnsi="Times New Roman" w:cs="Times New Roman"/>
          <w:sz w:val="24"/>
          <w:szCs w:val="24"/>
        </w:rPr>
        <w:t>tax</w:t>
      </w:r>
      <w:r w:rsidRPr="003A1979">
        <w:rPr>
          <w:rFonts w:ascii="Times New Roman" w:hAnsi="Times New Roman" w:cs="Times New Roman"/>
          <w:noProof/>
          <w:color w:val="0000FF"/>
          <w:sz w:val="24"/>
          <w:szCs w:val="24"/>
        </w:rPr>
        <w:drawing>
          <wp:inline distT="0" distB="0" distL="0" distR="0">
            <wp:extent cx="9525" cy="9525"/>
            <wp:effectExtent l="0" t="0" r="0" b="0"/>
            <wp:docPr id="889" name="Picture 250" descr="next hit">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next hit">
                      <a:hlinkClick r:id="rId265"/>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A1979">
        <w:rPr>
          <w:rFonts w:ascii="Times New Roman" w:hAnsi="Times New Roman" w:cs="Times New Roman"/>
          <w:sz w:val="24"/>
          <w:szCs w:val="24"/>
        </w:rPr>
        <w:t xml:space="preserve"> liability.</w:t>
      </w:r>
    </w:p>
    <w:p w:rsidR="00243AD5" w:rsidRPr="003A1979" w:rsidRDefault="00243AD5" w:rsidP="00243AD5">
      <w:pPr>
        <w:rPr>
          <w:rFonts w:ascii="Times New Roman" w:hAnsi="Times New Roman" w:cs="Times New Roman"/>
          <w:sz w:val="24"/>
          <w:szCs w:val="24"/>
        </w:rPr>
      </w:pPr>
    </w:p>
    <w:p w:rsidR="00243AD5" w:rsidRPr="003A1979" w:rsidRDefault="00243AD5" w:rsidP="00243AD5">
      <w:pPr>
        <w:rPr>
          <w:rFonts w:ascii="Times New Roman" w:hAnsi="Times New Roman" w:cs="Times New Roman"/>
          <w:sz w:val="24"/>
          <w:szCs w:val="24"/>
        </w:rPr>
      </w:pPr>
    </w:p>
    <w:p w:rsidR="00243AD5" w:rsidRPr="003A1979" w:rsidRDefault="00243AD5" w:rsidP="00243AD5">
      <w:pPr>
        <w:ind w:left="5760"/>
        <w:rPr>
          <w:rFonts w:ascii="Times New Roman" w:hAnsi="Times New Roman" w:cs="Times New Roman"/>
          <w:b/>
          <w:sz w:val="24"/>
          <w:szCs w:val="24"/>
        </w:rPr>
      </w:pPr>
      <w:r w:rsidRPr="003A1979">
        <w:rPr>
          <w:rFonts w:ascii="Times New Roman" w:hAnsi="Times New Roman" w:cs="Times New Roman"/>
          <w:b/>
          <w:sz w:val="24"/>
          <w:szCs w:val="24"/>
        </w:rPr>
        <w:t>Sincerely,</w:t>
      </w:r>
    </w:p>
    <w:p w:rsidR="00243AD5" w:rsidRPr="003A1979" w:rsidRDefault="00243AD5" w:rsidP="00243AD5">
      <w:pPr>
        <w:ind w:left="5760"/>
        <w:rPr>
          <w:rFonts w:ascii="Script MT Bold" w:hAnsi="Script MT Bold" w:cs="Times New Roman"/>
          <w:b/>
          <w:sz w:val="24"/>
          <w:szCs w:val="24"/>
        </w:rPr>
      </w:pPr>
      <w:r w:rsidRPr="003A1979">
        <w:rPr>
          <w:rFonts w:ascii="Script MT Bold" w:hAnsi="Script MT Bold" w:cs="Times New Roman"/>
          <w:b/>
          <w:sz w:val="24"/>
          <w:szCs w:val="24"/>
        </w:rPr>
        <w:t xml:space="preserve">Mario V. Lucibello, </w:t>
      </w:r>
      <w:r w:rsidRPr="00490ED7">
        <w:rPr>
          <w:rFonts w:ascii="Script MT Bold" w:hAnsi="Script MT Bold" w:cs="Times New Roman"/>
          <w:b/>
          <w:sz w:val="24"/>
          <w:szCs w:val="24"/>
        </w:rPr>
        <w:t>CPA</w:t>
      </w:r>
    </w:p>
    <w:p w:rsidR="0031426E" w:rsidRDefault="0031426E"/>
    <w:sectPr w:rsidR="0031426E" w:rsidSect="00490ED7">
      <w:headerReference w:type="default" r:id="rId266"/>
      <w:footerReference w:type="default" r:id="rId267"/>
      <w:pgSz w:w="12240" w:h="15840"/>
      <w:pgMar w:top="2700" w:right="1440" w:bottom="26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74" w:rsidRDefault="00ED5574" w:rsidP="00ED5574">
      <w:pPr>
        <w:spacing w:after="0" w:line="240" w:lineRule="auto"/>
      </w:pPr>
      <w:r>
        <w:separator/>
      </w:r>
    </w:p>
  </w:endnote>
  <w:endnote w:type="continuationSeparator" w:id="0">
    <w:p w:rsidR="00ED5574" w:rsidRDefault="00ED5574" w:rsidP="00ED5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74" w:rsidRDefault="00ED5574" w:rsidP="00ED5574">
    <w:pPr>
      <w:jc w:val="center"/>
      <w:rPr>
        <w:rFonts w:ascii="Trebuchet MS" w:hAnsi="Trebuchet MS"/>
        <w:b/>
        <w:color w:val="000000" w:themeColor="text1"/>
        <w:spacing w:val="40"/>
        <w:sz w:val="18"/>
        <w:szCs w:val="20"/>
      </w:rPr>
    </w:pPr>
    <w:r w:rsidRPr="00ED5574">
      <w:rPr>
        <w:rFonts w:ascii="Trebuchet MS" w:hAnsi="Trebuchet MS"/>
        <w:b/>
        <w:color w:val="000000" w:themeColor="text1"/>
        <w:spacing w:val="40"/>
        <w:sz w:val="18"/>
        <w:szCs w:val="20"/>
      </w:rPr>
      <w:t>NEW MILFORD• ORANGE • DANBURY • LAKEVILLE</w:t>
    </w:r>
  </w:p>
  <w:p w:rsidR="00ED5574" w:rsidRPr="00ED5574" w:rsidRDefault="00ED5574" w:rsidP="00ED5574">
    <w:pPr>
      <w:jc w:val="center"/>
      <w:rPr>
        <w:rFonts w:ascii="Trebuchet MS" w:hAnsi="Trebuchet MS"/>
        <w:b/>
        <w:color w:val="000000" w:themeColor="text1"/>
        <w:spacing w:val="40"/>
        <w:sz w:val="18"/>
        <w:szCs w:val="20"/>
      </w:rPr>
    </w:pPr>
    <w:r w:rsidRPr="00ED5574">
      <w:rPr>
        <w:rFonts w:ascii="Trebuchet MS" w:hAnsi="Trebuchet MS"/>
        <w:b/>
        <w:color w:val="000000" w:themeColor="text1"/>
        <w:spacing w:val="40"/>
        <w:sz w:val="18"/>
        <w:szCs w:val="20"/>
      </w:rPr>
      <w:t xml:space="preserve"> 860-355-1124 • GREENHAUSRIORDAN.COM</w:t>
    </w:r>
  </w:p>
  <w:p w:rsidR="00ED5574" w:rsidRPr="00ED5574" w:rsidRDefault="00ED5574">
    <w:pPr>
      <w:pStyle w:val="Footer"/>
      <w:rPr>
        <w:b/>
        <w:color w:val="000000" w:themeColor="text1"/>
      </w:rPr>
    </w:pPr>
  </w:p>
  <w:p w:rsidR="00ED5574" w:rsidRDefault="00ED5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74" w:rsidRDefault="00ED5574" w:rsidP="00ED5574">
      <w:pPr>
        <w:spacing w:after="0" w:line="240" w:lineRule="auto"/>
      </w:pPr>
      <w:r>
        <w:separator/>
      </w:r>
    </w:p>
  </w:footnote>
  <w:footnote w:type="continuationSeparator" w:id="0">
    <w:p w:rsidR="00ED5574" w:rsidRDefault="00ED5574" w:rsidP="00ED5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74" w:rsidRDefault="0085109E" w:rsidP="00ED5574">
    <w:pPr>
      <w:pStyle w:val="Header"/>
      <w:tabs>
        <w:tab w:val="clear" w:pos="9360"/>
        <w:tab w:val="right" w:pos="9450"/>
      </w:tabs>
    </w:pPr>
    <w:r>
      <w:rPr>
        <w:noProof/>
      </w:rPr>
      <w:pict>
        <v:shape id="_x0000_s2049" style="position:absolute;margin-left:465.05pt;margin-top:-63pt;width:74.85pt;height:203.65pt;z-index:251658240" coordsize="1376,3365" path="m,l1376,r,3365l1363,3134r-12,-220l1338,2706r-13,-199l1310,2320r-15,-179l1277,1973r-17,-160l1240,1663r-22,-140l1195,1389r-26,-124l1142,1149r-30,-110l1080,937r-34,-95l1008,753,967,671,924,595,877,524,826,458,772,398,714,342,653,291,587,243,517,199,443,159,364,123,280,89,192,57,98,27,,xe" fillcolor="#00be5a" stroked="f">
          <v:fill opacity="55706f"/>
          <v:path arrowok="t"/>
        </v:shape>
      </w:pict>
    </w:r>
    <w:r>
      <w:rPr>
        <w:noProof/>
      </w:rPr>
      <w:pict>
        <v:shapetype id="_x0000_t202" coordsize="21600,21600" o:spt="202" path="m,l,21600r21600,l21600,xe">
          <v:stroke joinstyle="miter"/>
          <v:path gradientshapeok="t" o:connecttype="rect"/>
        </v:shapetype>
        <v:shape id="_x0000_s2050" type="#_x0000_t202" style="position:absolute;margin-left:-57pt;margin-top:-25.4pt;width:271.45pt;height:100.4pt;z-index:251659264" filled="f" stroked="f">
          <v:textbox style="mso-next-textbox:#_x0000_s2050" inset="0,0,0,0">
            <w:txbxContent>
              <w:sdt>
                <w:sdtPr>
                  <w:id w:val="84489017"/>
                  <w:picture/>
                </w:sdtPr>
                <w:sdtContent>
                  <w:p w:rsidR="00ED5574" w:rsidRDefault="00ED5574" w:rsidP="00ED5574">
                    <w:r>
                      <w:rPr>
                        <w:noProof/>
                      </w:rPr>
                      <w:drawing>
                        <wp:inline distT="0" distB="0" distL="0" distR="0">
                          <wp:extent cx="857250" cy="857250"/>
                          <wp:effectExtent l="19050" t="0" r="0" b="0"/>
                          <wp:docPr id="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66783" cy="866783"/>
                                  </a:xfrm>
                                  <a:prstGeom prst="rect">
                                    <a:avLst/>
                                  </a:prstGeom>
                                  <a:noFill/>
                                  <a:ln w="9525">
                                    <a:noFill/>
                                    <a:miter lim="800000"/>
                                    <a:headEnd/>
                                    <a:tailEnd/>
                                  </a:ln>
                                </pic:spPr>
                              </pic:pic>
                            </a:graphicData>
                          </a:graphic>
                        </wp:inline>
                      </w:drawing>
                    </w:r>
                  </w:p>
                </w:sdtContent>
              </w:sdt>
              <w:sdt>
                <w:sdtPr>
                  <w:rPr>
                    <w:rStyle w:val="AddressChar"/>
                  </w:rPr>
                  <w:id w:val="84489018"/>
                </w:sdtPr>
                <w:sdtEndPr>
                  <w:rPr>
                    <w:rStyle w:val="DefaultParagraphFont"/>
                  </w:rPr>
                </w:sdtEndPr>
                <w:sdtContent>
                  <w:p w:rsidR="00ED5574" w:rsidRPr="00CF4645" w:rsidRDefault="0085109E" w:rsidP="00ED5574">
                    <w:pPr>
                      <w:pStyle w:val="Address"/>
                      <w:rPr>
                        <w:rStyle w:val="AddressChar"/>
                        <w:b/>
                        <w:sz w:val="21"/>
                        <w:szCs w:val="21"/>
                      </w:rPr>
                    </w:pPr>
                    <w:hyperlink r:id="rId2" w:history="1">
                      <w:r w:rsidR="00ED5574" w:rsidRPr="00CF4645">
                        <w:rPr>
                          <w:rStyle w:val="Hyperlink"/>
                          <w:b/>
                          <w:sz w:val="21"/>
                          <w:szCs w:val="21"/>
                        </w:rPr>
                        <w:t>Mario@greenhausriordan.com</w:t>
                      </w:r>
                    </w:hyperlink>
                  </w:p>
                  <w:p w:rsidR="00ED5574" w:rsidRDefault="00ED5574" w:rsidP="00ED5574">
                    <w:pPr>
                      <w:pStyle w:val="Address"/>
                      <w:rPr>
                        <w:rStyle w:val="AddressChar"/>
                      </w:rPr>
                    </w:pPr>
                  </w:p>
                  <w:p w:rsidR="00ED5574" w:rsidRDefault="0085109E" w:rsidP="00ED5574">
                    <w:pPr>
                      <w:pStyle w:val="Address"/>
                    </w:pPr>
                  </w:p>
                </w:sdtContent>
              </w:sdt>
              <w:p w:rsidR="00ED5574" w:rsidRDefault="00ED5574" w:rsidP="00ED5574">
                <w:pPr>
                  <w:pStyle w:val="Address"/>
                </w:pPr>
              </w:p>
            </w:txbxContent>
          </v:textbox>
        </v:shape>
      </w:pict>
    </w:r>
    <w:r>
      <w:rPr>
        <w:noProof/>
      </w:rPr>
      <w:pict>
        <v:shape id="_x0000_s2052" style="position:absolute;margin-left:-71.9pt;margin-top:61.35pt;width:366.35pt;height:705.2pt;flip:x y;z-index:-251655168" coordsize="1376,3365" path="m,l1376,r,3365l1363,3134r-12,-220l1338,2706r-13,-199l1310,2320r-15,-179l1277,1973r-17,-160l1240,1663r-22,-140l1195,1389r-26,-124l1142,1149r-30,-110l1080,937r-34,-95l1008,753,967,671,924,595,877,524,826,458,772,398,714,342,653,291,587,243,517,199,443,159,364,123,280,89,192,57,98,27,,xe" fillcolor="#00be5a" stroked="f">
          <v:path arrowok="t"/>
        </v:shape>
      </w:pict>
    </w:r>
    <w:r>
      <w:rPr>
        <w:noProof/>
      </w:rPr>
      <w:pict>
        <v:shape id="_x0000_s2051" style="position:absolute;margin-left:-36.85pt;margin-top:282.25pt;width:576.75pt;height:470.8pt;flip:y;z-index:251660288" coordsize="1376,3365" path="m,l1376,r,3365l1363,3134r-12,-220l1338,2706r-13,-199l1310,2320r-15,-179l1277,1973r-17,-160l1240,1663r-22,-140l1195,1389r-26,-124l1142,1149r-30,-110l1080,937r-34,-95l1008,753,967,671,924,595,877,524,826,458,772,398,714,342,653,291,587,243,517,199,443,159,364,123,280,89,192,57,98,27,,xe" fillcolor="#00be5a" stroked="f">
          <v:fill color2="#eaf1dd [662]" o:opacity2="0" rotate="t" type="gradient"/>
          <v:path arrowok="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ED5574"/>
    <w:rsid w:val="0000786D"/>
    <w:rsid w:val="000125AF"/>
    <w:rsid w:val="00013839"/>
    <w:rsid w:val="000164CE"/>
    <w:rsid w:val="00021969"/>
    <w:rsid w:val="00021B79"/>
    <w:rsid w:val="00027746"/>
    <w:rsid w:val="000338FA"/>
    <w:rsid w:val="000457CF"/>
    <w:rsid w:val="000579BD"/>
    <w:rsid w:val="00085272"/>
    <w:rsid w:val="00086A10"/>
    <w:rsid w:val="00094707"/>
    <w:rsid w:val="000A3674"/>
    <w:rsid w:val="000B042A"/>
    <w:rsid w:val="000B26CF"/>
    <w:rsid w:val="000B6F94"/>
    <w:rsid w:val="000B7642"/>
    <w:rsid w:val="000C5A24"/>
    <w:rsid w:val="000C71A6"/>
    <w:rsid w:val="000D2761"/>
    <w:rsid w:val="000E1BD9"/>
    <w:rsid w:val="000F047A"/>
    <w:rsid w:val="000F3238"/>
    <w:rsid w:val="001114DB"/>
    <w:rsid w:val="00112E8D"/>
    <w:rsid w:val="00120CBB"/>
    <w:rsid w:val="001249F3"/>
    <w:rsid w:val="00127D5E"/>
    <w:rsid w:val="00130B57"/>
    <w:rsid w:val="00135220"/>
    <w:rsid w:val="0013536B"/>
    <w:rsid w:val="00145CC6"/>
    <w:rsid w:val="001545B0"/>
    <w:rsid w:val="00181959"/>
    <w:rsid w:val="001938FA"/>
    <w:rsid w:val="00193988"/>
    <w:rsid w:val="00194EDA"/>
    <w:rsid w:val="001A2A81"/>
    <w:rsid w:val="001A5FD3"/>
    <w:rsid w:val="001A7877"/>
    <w:rsid w:val="001B431B"/>
    <w:rsid w:val="001B6200"/>
    <w:rsid w:val="001D0703"/>
    <w:rsid w:val="001D1945"/>
    <w:rsid w:val="001D4509"/>
    <w:rsid w:val="001D4B3F"/>
    <w:rsid w:val="001D557D"/>
    <w:rsid w:val="001D6C2D"/>
    <w:rsid w:val="001E7D5A"/>
    <w:rsid w:val="001F7134"/>
    <w:rsid w:val="002051C9"/>
    <w:rsid w:val="0021145A"/>
    <w:rsid w:val="00215249"/>
    <w:rsid w:val="00223F4A"/>
    <w:rsid w:val="00225A51"/>
    <w:rsid w:val="00226361"/>
    <w:rsid w:val="00234E54"/>
    <w:rsid w:val="00243AD5"/>
    <w:rsid w:val="00244AA1"/>
    <w:rsid w:val="00246005"/>
    <w:rsid w:val="002475C5"/>
    <w:rsid w:val="00252E6A"/>
    <w:rsid w:val="00254A40"/>
    <w:rsid w:val="0026286E"/>
    <w:rsid w:val="00262C09"/>
    <w:rsid w:val="002732DA"/>
    <w:rsid w:val="00273F12"/>
    <w:rsid w:val="00280B0C"/>
    <w:rsid w:val="002822DF"/>
    <w:rsid w:val="00284DB7"/>
    <w:rsid w:val="002968E9"/>
    <w:rsid w:val="002A38DE"/>
    <w:rsid w:val="002B5388"/>
    <w:rsid w:val="002C04C7"/>
    <w:rsid w:val="002C19F3"/>
    <w:rsid w:val="002C4BD2"/>
    <w:rsid w:val="002D2688"/>
    <w:rsid w:val="002E355D"/>
    <w:rsid w:val="002E6922"/>
    <w:rsid w:val="002F26F5"/>
    <w:rsid w:val="002F5B07"/>
    <w:rsid w:val="002F5F37"/>
    <w:rsid w:val="00302646"/>
    <w:rsid w:val="0030278A"/>
    <w:rsid w:val="00304E0F"/>
    <w:rsid w:val="00305721"/>
    <w:rsid w:val="0031256F"/>
    <w:rsid w:val="0031426E"/>
    <w:rsid w:val="003205EA"/>
    <w:rsid w:val="00325F15"/>
    <w:rsid w:val="00326588"/>
    <w:rsid w:val="00326989"/>
    <w:rsid w:val="003353B2"/>
    <w:rsid w:val="00336FEB"/>
    <w:rsid w:val="00337FEA"/>
    <w:rsid w:val="00360670"/>
    <w:rsid w:val="003623F3"/>
    <w:rsid w:val="00363035"/>
    <w:rsid w:val="003653C6"/>
    <w:rsid w:val="003654FA"/>
    <w:rsid w:val="00366725"/>
    <w:rsid w:val="00370254"/>
    <w:rsid w:val="00371282"/>
    <w:rsid w:val="00373917"/>
    <w:rsid w:val="00373A13"/>
    <w:rsid w:val="00373F81"/>
    <w:rsid w:val="00376EF3"/>
    <w:rsid w:val="00377245"/>
    <w:rsid w:val="003815CF"/>
    <w:rsid w:val="0039680F"/>
    <w:rsid w:val="00396D7B"/>
    <w:rsid w:val="003B5391"/>
    <w:rsid w:val="003B5F18"/>
    <w:rsid w:val="003C7963"/>
    <w:rsid w:val="003C7B09"/>
    <w:rsid w:val="003D0E1A"/>
    <w:rsid w:val="003D36AD"/>
    <w:rsid w:val="003D7995"/>
    <w:rsid w:val="003E5158"/>
    <w:rsid w:val="003F10DA"/>
    <w:rsid w:val="004049AC"/>
    <w:rsid w:val="00407B64"/>
    <w:rsid w:val="0041592D"/>
    <w:rsid w:val="00416AC5"/>
    <w:rsid w:val="0041704D"/>
    <w:rsid w:val="00434ABD"/>
    <w:rsid w:val="004357BA"/>
    <w:rsid w:val="00435AD6"/>
    <w:rsid w:val="00436B17"/>
    <w:rsid w:val="00437182"/>
    <w:rsid w:val="00445A00"/>
    <w:rsid w:val="004479E4"/>
    <w:rsid w:val="00447D57"/>
    <w:rsid w:val="00452A01"/>
    <w:rsid w:val="00456557"/>
    <w:rsid w:val="00457445"/>
    <w:rsid w:val="00463CE6"/>
    <w:rsid w:val="00473D8A"/>
    <w:rsid w:val="00475A68"/>
    <w:rsid w:val="00475E42"/>
    <w:rsid w:val="0047715A"/>
    <w:rsid w:val="004776C1"/>
    <w:rsid w:val="00477A05"/>
    <w:rsid w:val="00490ED7"/>
    <w:rsid w:val="0049115E"/>
    <w:rsid w:val="00492773"/>
    <w:rsid w:val="00496EEA"/>
    <w:rsid w:val="004A616E"/>
    <w:rsid w:val="004A75F3"/>
    <w:rsid w:val="004B3322"/>
    <w:rsid w:val="004B68CD"/>
    <w:rsid w:val="004F298F"/>
    <w:rsid w:val="004F3E97"/>
    <w:rsid w:val="004F44D1"/>
    <w:rsid w:val="0050209C"/>
    <w:rsid w:val="00507A70"/>
    <w:rsid w:val="00516C53"/>
    <w:rsid w:val="00524B7A"/>
    <w:rsid w:val="005325C5"/>
    <w:rsid w:val="00536723"/>
    <w:rsid w:val="0054103C"/>
    <w:rsid w:val="00545693"/>
    <w:rsid w:val="00565C45"/>
    <w:rsid w:val="005737F4"/>
    <w:rsid w:val="00587BF7"/>
    <w:rsid w:val="00593A16"/>
    <w:rsid w:val="005942AC"/>
    <w:rsid w:val="005A4916"/>
    <w:rsid w:val="005B2E1A"/>
    <w:rsid w:val="005B6476"/>
    <w:rsid w:val="005C187D"/>
    <w:rsid w:val="005C4A7B"/>
    <w:rsid w:val="005D1D0F"/>
    <w:rsid w:val="0060691D"/>
    <w:rsid w:val="00610345"/>
    <w:rsid w:val="00610BBF"/>
    <w:rsid w:val="00625115"/>
    <w:rsid w:val="006404D3"/>
    <w:rsid w:val="00643281"/>
    <w:rsid w:val="006463F7"/>
    <w:rsid w:val="006531AD"/>
    <w:rsid w:val="006665F9"/>
    <w:rsid w:val="006746A3"/>
    <w:rsid w:val="00687E12"/>
    <w:rsid w:val="006946B1"/>
    <w:rsid w:val="00695238"/>
    <w:rsid w:val="006A7CAD"/>
    <w:rsid w:val="006C5621"/>
    <w:rsid w:val="006E34DC"/>
    <w:rsid w:val="006E5354"/>
    <w:rsid w:val="006E5EA1"/>
    <w:rsid w:val="00707109"/>
    <w:rsid w:val="00710D73"/>
    <w:rsid w:val="00712299"/>
    <w:rsid w:val="00714397"/>
    <w:rsid w:val="00716669"/>
    <w:rsid w:val="00726D7E"/>
    <w:rsid w:val="00730CFC"/>
    <w:rsid w:val="00730E86"/>
    <w:rsid w:val="00731ACA"/>
    <w:rsid w:val="007432D6"/>
    <w:rsid w:val="007467DC"/>
    <w:rsid w:val="0075377D"/>
    <w:rsid w:val="00764AD7"/>
    <w:rsid w:val="007662AF"/>
    <w:rsid w:val="00766B76"/>
    <w:rsid w:val="00770839"/>
    <w:rsid w:val="007836EA"/>
    <w:rsid w:val="00792940"/>
    <w:rsid w:val="00792A78"/>
    <w:rsid w:val="007A16E2"/>
    <w:rsid w:val="007A3422"/>
    <w:rsid w:val="007B7170"/>
    <w:rsid w:val="007B731C"/>
    <w:rsid w:val="007C437A"/>
    <w:rsid w:val="007C71F9"/>
    <w:rsid w:val="007E2874"/>
    <w:rsid w:val="007E3A54"/>
    <w:rsid w:val="007E6B92"/>
    <w:rsid w:val="007F072D"/>
    <w:rsid w:val="007F30D3"/>
    <w:rsid w:val="00800410"/>
    <w:rsid w:val="00806438"/>
    <w:rsid w:val="00813686"/>
    <w:rsid w:val="00813BBA"/>
    <w:rsid w:val="00817309"/>
    <w:rsid w:val="00827827"/>
    <w:rsid w:val="00830B66"/>
    <w:rsid w:val="00843343"/>
    <w:rsid w:val="0084696E"/>
    <w:rsid w:val="0085109E"/>
    <w:rsid w:val="0085341C"/>
    <w:rsid w:val="008548AF"/>
    <w:rsid w:val="00863C21"/>
    <w:rsid w:val="008645E5"/>
    <w:rsid w:val="00867934"/>
    <w:rsid w:val="00883E3D"/>
    <w:rsid w:val="00886645"/>
    <w:rsid w:val="00893982"/>
    <w:rsid w:val="008A2B5A"/>
    <w:rsid w:val="008A5054"/>
    <w:rsid w:val="008B4EED"/>
    <w:rsid w:val="008C3E9E"/>
    <w:rsid w:val="008C6834"/>
    <w:rsid w:val="008E0288"/>
    <w:rsid w:val="008E3CD7"/>
    <w:rsid w:val="008E43A8"/>
    <w:rsid w:val="008E6868"/>
    <w:rsid w:val="0090165B"/>
    <w:rsid w:val="00904FCD"/>
    <w:rsid w:val="00905F01"/>
    <w:rsid w:val="00906EBC"/>
    <w:rsid w:val="00922D38"/>
    <w:rsid w:val="00926376"/>
    <w:rsid w:val="009264AD"/>
    <w:rsid w:val="00930B1C"/>
    <w:rsid w:val="009415B9"/>
    <w:rsid w:val="009416E1"/>
    <w:rsid w:val="00946654"/>
    <w:rsid w:val="009473CC"/>
    <w:rsid w:val="00957490"/>
    <w:rsid w:val="00961F14"/>
    <w:rsid w:val="009625DC"/>
    <w:rsid w:val="009634E6"/>
    <w:rsid w:val="009659C2"/>
    <w:rsid w:val="00976CF0"/>
    <w:rsid w:val="009822CD"/>
    <w:rsid w:val="009931C5"/>
    <w:rsid w:val="00993CF6"/>
    <w:rsid w:val="009B07FE"/>
    <w:rsid w:val="009B6F15"/>
    <w:rsid w:val="009C400E"/>
    <w:rsid w:val="009C59AD"/>
    <w:rsid w:val="009C6058"/>
    <w:rsid w:val="009C7069"/>
    <w:rsid w:val="009D5A8F"/>
    <w:rsid w:val="009E556F"/>
    <w:rsid w:val="009F3700"/>
    <w:rsid w:val="009F3A42"/>
    <w:rsid w:val="00A127FD"/>
    <w:rsid w:val="00A14C34"/>
    <w:rsid w:val="00A219F5"/>
    <w:rsid w:val="00A3196E"/>
    <w:rsid w:val="00A3430B"/>
    <w:rsid w:val="00A348EC"/>
    <w:rsid w:val="00A3620A"/>
    <w:rsid w:val="00A476A0"/>
    <w:rsid w:val="00A47B57"/>
    <w:rsid w:val="00A5011F"/>
    <w:rsid w:val="00A52A56"/>
    <w:rsid w:val="00A573F5"/>
    <w:rsid w:val="00A5794F"/>
    <w:rsid w:val="00A6277E"/>
    <w:rsid w:val="00A71A29"/>
    <w:rsid w:val="00A75527"/>
    <w:rsid w:val="00A75E3B"/>
    <w:rsid w:val="00A77B48"/>
    <w:rsid w:val="00A81AA2"/>
    <w:rsid w:val="00A8594C"/>
    <w:rsid w:val="00A9092E"/>
    <w:rsid w:val="00AA0839"/>
    <w:rsid w:val="00AB1E6B"/>
    <w:rsid w:val="00AB3E5C"/>
    <w:rsid w:val="00AB4134"/>
    <w:rsid w:val="00AB6210"/>
    <w:rsid w:val="00AC3F5E"/>
    <w:rsid w:val="00AC4110"/>
    <w:rsid w:val="00AC5BFB"/>
    <w:rsid w:val="00AC764B"/>
    <w:rsid w:val="00AD245C"/>
    <w:rsid w:val="00AD7D14"/>
    <w:rsid w:val="00AE0F61"/>
    <w:rsid w:val="00AE785D"/>
    <w:rsid w:val="00AF4B00"/>
    <w:rsid w:val="00AF683C"/>
    <w:rsid w:val="00B05E8A"/>
    <w:rsid w:val="00B139E8"/>
    <w:rsid w:val="00B20A34"/>
    <w:rsid w:val="00B21E8D"/>
    <w:rsid w:val="00B2397B"/>
    <w:rsid w:val="00B26121"/>
    <w:rsid w:val="00B316EA"/>
    <w:rsid w:val="00B34436"/>
    <w:rsid w:val="00B36726"/>
    <w:rsid w:val="00B44D54"/>
    <w:rsid w:val="00B46328"/>
    <w:rsid w:val="00B51E5A"/>
    <w:rsid w:val="00B536BF"/>
    <w:rsid w:val="00B555FC"/>
    <w:rsid w:val="00B574E7"/>
    <w:rsid w:val="00B64F2D"/>
    <w:rsid w:val="00B76D19"/>
    <w:rsid w:val="00B800AD"/>
    <w:rsid w:val="00B82A6B"/>
    <w:rsid w:val="00B85F8E"/>
    <w:rsid w:val="00B922CC"/>
    <w:rsid w:val="00B93575"/>
    <w:rsid w:val="00BA666C"/>
    <w:rsid w:val="00BB5421"/>
    <w:rsid w:val="00BD49E0"/>
    <w:rsid w:val="00BE2D55"/>
    <w:rsid w:val="00BF4546"/>
    <w:rsid w:val="00BF65AF"/>
    <w:rsid w:val="00C06C60"/>
    <w:rsid w:val="00C07F30"/>
    <w:rsid w:val="00C130DA"/>
    <w:rsid w:val="00C13CC6"/>
    <w:rsid w:val="00C14CA3"/>
    <w:rsid w:val="00C23FB8"/>
    <w:rsid w:val="00C26554"/>
    <w:rsid w:val="00C32A0B"/>
    <w:rsid w:val="00C33B56"/>
    <w:rsid w:val="00C3474B"/>
    <w:rsid w:val="00C36DFA"/>
    <w:rsid w:val="00C417EC"/>
    <w:rsid w:val="00C43069"/>
    <w:rsid w:val="00C449B4"/>
    <w:rsid w:val="00C47077"/>
    <w:rsid w:val="00C47B36"/>
    <w:rsid w:val="00C510E3"/>
    <w:rsid w:val="00C53D84"/>
    <w:rsid w:val="00C65CC0"/>
    <w:rsid w:val="00C8120A"/>
    <w:rsid w:val="00C86C1B"/>
    <w:rsid w:val="00C93907"/>
    <w:rsid w:val="00C97B26"/>
    <w:rsid w:val="00CC332F"/>
    <w:rsid w:val="00CC5A86"/>
    <w:rsid w:val="00CC781C"/>
    <w:rsid w:val="00CD6363"/>
    <w:rsid w:val="00CE4A94"/>
    <w:rsid w:val="00CE651F"/>
    <w:rsid w:val="00CE7E3E"/>
    <w:rsid w:val="00CF0730"/>
    <w:rsid w:val="00CF1F0B"/>
    <w:rsid w:val="00CF212B"/>
    <w:rsid w:val="00CF3CD7"/>
    <w:rsid w:val="00D02418"/>
    <w:rsid w:val="00D05F95"/>
    <w:rsid w:val="00D206E3"/>
    <w:rsid w:val="00D22B57"/>
    <w:rsid w:val="00D310F8"/>
    <w:rsid w:val="00D3547D"/>
    <w:rsid w:val="00D35BBA"/>
    <w:rsid w:val="00D369F9"/>
    <w:rsid w:val="00D3730F"/>
    <w:rsid w:val="00D54241"/>
    <w:rsid w:val="00D56C1D"/>
    <w:rsid w:val="00D56CC9"/>
    <w:rsid w:val="00D66616"/>
    <w:rsid w:val="00D72022"/>
    <w:rsid w:val="00D756EA"/>
    <w:rsid w:val="00D867EF"/>
    <w:rsid w:val="00D86E60"/>
    <w:rsid w:val="00D87B2E"/>
    <w:rsid w:val="00DA0866"/>
    <w:rsid w:val="00DA6196"/>
    <w:rsid w:val="00DB0344"/>
    <w:rsid w:val="00DB1A48"/>
    <w:rsid w:val="00DB23EC"/>
    <w:rsid w:val="00DC075E"/>
    <w:rsid w:val="00DC5BF6"/>
    <w:rsid w:val="00DD2C95"/>
    <w:rsid w:val="00DE44F1"/>
    <w:rsid w:val="00DE7600"/>
    <w:rsid w:val="00DF10C2"/>
    <w:rsid w:val="00DF2B63"/>
    <w:rsid w:val="00DF7496"/>
    <w:rsid w:val="00E04B62"/>
    <w:rsid w:val="00E16BCE"/>
    <w:rsid w:val="00E26AFF"/>
    <w:rsid w:val="00E272BC"/>
    <w:rsid w:val="00E3388D"/>
    <w:rsid w:val="00E4350C"/>
    <w:rsid w:val="00E43E4C"/>
    <w:rsid w:val="00E5489B"/>
    <w:rsid w:val="00E55175"/>
    <w:rsid w:val="00E55FF5"/>
    <w:rsid w:val="00E65BFF"/>
    <w:rsid w:val="00E7043D"/>
    <w:rsid w:val="00E71903"/>
    <w:rsid w:val="00E7660D"/>
    <w:rsid w:val="00E85EB2"/>
    <w:rsid w:val="00E8751D"/>
    <w:rsid w:val="00E90069"/>
    <w:rsid w:val="00E92695"/>
    <w:rsid w:val="00E92ACE"/>
    <w:rsid w:val="00E9487A"/>
    <w:rsid w:val="00E96169"/>
    <w:rsid w:val="00EA5425"/>
    <w:rsid w:val="00EA6235"/>
    <w:rsid w:val="00EB365A"/>
    <w:rsid w:val="00EB475A"/>
    <w:rsid w:val="00EC498E"/>
    <w:rsid w:val="00ED5574"/>
    <w:rsid w:val="00ED6B10"/>
    <w:rsid w:val="00EE0946"/>
    <w:rsid w:val="00EE5689"/>
    <w:rsid w:val="00EF0D67"/>
    <w:rsid w:val="00EF389E"/>
    <w:rsid w:val="00F01290"/>
    <w:rsid w:val="00F1056E"/>
    <w:rsid w:val="00F234B3"/>
    <w:rsid w:val="00F24C05"/>
    <w:rsid w:val="00F31C79"/>
    <w:rsid w:val="00F45B47"/>
    <w:rsid w:val="00F476EC"/>
    <w:rsid w:val="00F535A9"/>
    <w:rsid w:val="00F6307B"/>
    <w:rsid w:val="00F66F88"/>
    <w:rsid w:val="00F6728A"/>
    <w:rsid w:val="00F80074"/>
    <w:rsid w:val="00F80219"/>
    <w:rsid w:val="00F809E5"/>
    <w:rsid w:val="00F826DA"/>
    <w:rsid w:val="00F8699F"/>
    <w:rsid w:val="00F934BA"/>
    <w:rsid w:val="00F96DB7"/>
    <w:rsid w:val="00FA302D"/>
    <w:rsid w:val="00FA48BC"/>
    <w:rsid w:val="00FA51F7"/>
    <w:rsid w:val="00FB14A7"/>
    <w:rsid w:val="00FB2FA3"/>
    <w:rsid w:val="00FB3954"/>
    <w:rsid w:val="00FB417A"/>
    <w:rsid w:val="00FB650C"/>
    <w:rsid w:val="00FB7CAA"/>
    <w:rsid w:val="00FC5079"/>
    <w:rsid w:val="00FC7407"/>
    <w:rsid w:val="00FD6BCA"/>
    <w:rsid w:val="00FF1514"/>
    <w:rsid w:val="00FF2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574"/>
  </w:style>
  <w:style w:type="paragraph" w:styleId="Footer">
    <w:name w:val="footer"/>
    <w:basedOn w:val="Normal"/>
    <w:link w:val="FooterChar"/>
    <w:uiPriority w:val="99"/>
    <w:unhideWhenUsed/>
    <w:rsid w:val="00ED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74"/>
  </w:style>
  <w:style w:type="paragraph" w:customStyle="1" w:styleId="Address">
    <w:name w:val="Address"/>
    <w:basedOn w:val="Normal"/>
    <w:link w:val="AddressChar"/>
    <w:qFormat/>
    <w:rsid w:val="00ED5574"/>
    <w:pPr>
      <w:spacing w:after="0"/>
    </w:pPr>
    <w:rPr>
      <w:color w:val="000000" w:themeColor="text1"/>
      <w:sz w:val="18"/>
    </w:rPr>
  </w:style>
  <w:style w:type="character" w:customStyle="1" w:styleId="AddressChar">
    <w:name w:val="Address Char"/>
    <w:basedOn w:val="DefaultParagraphFont"/>
    <w:link w:val="Address"/>
    <w:rsid w:val="00ED5574"/>
    <w:rPr>
      <w:color w:val="000000" w:themeColor="text1"/>
      <w:sz w:val="18"/>
    </w:rPr>
  </w:style>
  <w:style w:type="character" w:styleId="Hyperlink">
    <w:name w:val="Hyperlink"/>
    <w:basedOn w:val="DefaultParagraphFont"/>
    <w:uiPriority w:val="99"/>
    <w:unhideWhenUsed/>
    <w:rsid w:val="00ED5574"/>
    <w:rPr>
      <w:color w:val="0000FF" w:themeColor="hyperlink"/>
      <w:u w:val="single"/>
    </w:rPr>
  </w:style>
  <w:style w:type="paragraph" w:styleId="BalloonText">
    <w:name w:val="Balloon Text"/>
    <w:basedOn w:val="Normal"/>
    <w:link w:val="BalloonTextChar"/>
    <w:uiPriority w:val="99"/>
    <w:semiHidden/>
    <w:unhideWhenUsed/>
    <w:rsid w:val="00ED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4"/>
    <w:rPr>
      <w:rFonts w:ascii="Tahoma" w:hAnsi="Tahoma" w:cs="Tahoma"/>
      <w:sz w:val="16"/>
      <w:szCs w:val="16"/>
    </w:rPr>
  </w:style>
  <w:style w:type="character" w:customStyle="1" w:styleId="displayhltext">
    <w:name w:val="display_hl_text"/>
    <w:basedOn w:val="DefaultParagraphFont"/>
    <w:rsid w:val="00243AD5"/>
  </w:style>
  <w:style w:type="character" w:customStyle="1" w:styleId="emphi">
    <w:name w:val="emphi"/>
    <w:basedOn w:val="DefaultParagraphFont"/>
    <w:rsid w:val="00243AD5"/>
  </w:style>
  <w:style w:type="character" w:styleId="FollowedHyperlink">
    <w:name w:val="FollowedHyperlink"/>
    <w:basedOn w:val="DefaultParagraphFont"/>
    <w:uiPriority w:val="99"/>
    <w:semiHidden/>
    <w:unhideWhenUsed/>
    <w:rsid w:val="00243A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javascript:top.docjs.next_hit(59)" TargetMode="External"/><Relationship Id="rId21" Type="http://schemas.openxmlformats.org/officeDocument/2006/relationships/hyperlink" Target="javascript:top.docjs.next_hit(20)" TargetMode="External"/><Relationship Id="rId42" Type="http://schemas.openxmlformats.org/officeDocument/2006/relationships/hyperlink" Target="javascript:top.docjs.prev_hit(31)" TargetMode="External"/><Relationship Id="rId63" Type="http://schemas.openxmlformats.org/officeDocument/2006/relationships/hyperlink" Target="javascript:top.docjs.prev_hit(39)" TargetMode="External"/><Relationship Id="rId84" Type="http://schemas.openxmlformats.org/officeDocument/2006/relationships/hyperlink" Target="javascript:top.docjs.next_hit(43)" TargetMode="External"/><Relationship Id="rId138" Type="http://schemas.openxmlformats.org/officeDocument/2006/relationships/hyperlink" Target="javascript:top.docjs.prev_hit(70)" TargetMode="External"/><Relationship Id="rId159" Type="http://schemas.openxmlformats.org/officeDocument/2006/relationships/hyperlink" Target="javascript:top.docjs.next_hit(80)" TargetMode="External"/><Relationship Id="rId170" Type="http://schemas.openxmlformats.org/officeDocument/2006/relationships/hyperlink" Target="javascript:top.docjs.prev_hit(86)" TargetMode="External"/><Relationship Id="rId191" Type="http://schemas.openxmlformats.org/officeDocument/2006/relationships/hyperlink" Target="javascript:top.docjs.prev_hit(95)" TargetMode="External"/><Relationship Id="rId205" Type="http://schemas.openxmlformats.org/officeDocument/2006/relationships/hyperlink" Target="javascript:top.docjs.prev_hit(103)" TargetMode="External"/><Relationship Id="rId226" Type="http://schemas.openxmlformats.org/officeDocument/2006/relationships/hyperlink" Target="javascript:top.docjs.next_hit(113)" TargetMode="External"/><Relationship Id="rId247" Type="http://schemas.openxmlformats.org/officeDocument/2006/relationships/hyperlink" Target="javascript:top.docjs.next_hit(125)" TargetMode="External"/><Relationship Id="rId107" Type="http://schemas.openxmlformats.org/officeDocument/2006/relationships/hyperlink" Target="javascript:top.docjs.next_hit(54)" TargetMode="External"/><Relationship Id="rId268" Type="http://schemas.openxmlformats.org/officeDocument/2006/relationships/fontTable" Target="fontTable.xml"/><Relationship Id="rId11" Type="http://schemas.openxmlformats.org/officeDocument/2006/relationships/hyperlink" Target="javascript:top.docjs.next_hit(11)" TargetMode="External"/><Relationship Id="rId32" Type="http://schemas.openxmlformats.org/officeDocument/2006/relationships/hyperlink" Target="javascript:top.docjs.prev_hit(26)" TargetMode="External"/><Relationship Id="rId53" Type="http://schemas.openxmlformats.org/officeDocument/2006/relationships/hyperlink" Target="javascript:top.docjs.next_hit(35)" TargetMode="External"/><Relationship Id="rId74" Type="http://schemas.openxmlformats.org/officeDocument/2006/relationships/hyperlink" Target="javascript:top.docjs.next_hit(40)" TargetMode="External"/><Relationship Id="rId128" Type="http://schemas.openxmlformats.org/officeDocument/2006/relationships/hyperlink" Target="javascript:top.docjs.prev_hit(65)" TargetMode="External"/><Relationship Id="rId149" Type="http://schemas.openxmlformats.org/officeDocument/2006/relationships/hyperlink" Target="javascript:top.docjs.next_hit(75)" TargetMode="External"/><Relationship Id="rId5" Type="http://schemas.openxmlformats.org/officeDocument/2006/relationships/footnotes" Target="footnotes.xml"/><Relationship Id="rId95" Type="http://schemas.openxmlformats.org/officeDocument/2006/relationships/hyperlink" Target="javascript:top.docjs.next_hit(48)" TargetMode="External"/><Relationship Id="rId160" Type="http://schemas.openxmlformats.org/officeDocument/2006/relationships/hyperlink" Target="javascript:top.docjs.prev_hit(81)" TargetMode="External"/><Relationship Id="rId181" Type="http://schemas.openxmlformats.org/officeDocument/2006/relationships/hyperlink" Target="http://taxandaccounting.bna.com.unh-proxy01.newhaven.edu:2048/btac/display/link_res.adp?fedfid=23067410&amp;fname=usc_26_179&amp;vname=tmwrnot" TargetMode="External"/><Relationship Id="rId216" Type="http://schemas.openxmlformats.org/officeDocument/2006/relationships/hyperlink" Target="javascript:top.docjs.next_hit(108)" TargetMode="External"/><Relationship Id="rId237" Type="http://schemas.openxmlformats.org/officeDocument/2006/relationships/hyperlink" Target="javascript:top.docjs.prev_hit(120)" TargetMode="External"/><Relationship Id="rId258" Type="http://schemas.openxmlformats.org/officeDocument/2006/relationships/hyperlink" Target="javascript:top.docjs.prev_hit(131)" TargetMode="External"/><Relationship Id="rId22" Type="http://schemas.openxmlformats.org/officeDocument/2006/relationships/hyperlink" Target="javascript:top.docjs.prev_hit(21)" TargetMode="External"/><Relationship Id="rId43" Type="http://schemas.openxmlformats.org/officeDocument/2006/relationships/hyperlink" Target="javascript:top.docjs.next_hit(31)" TargetMode="External"/><Relationship Id="rId64" Type="http://schemas.openxmlformats.org/officeDocument/2006/relationships/hyperlink" Target="javascript:top.docjs.next_hit(39)" TargetMode="External"/><Relationship Id="rId118" Type="http://schemas.openxmlformats.org/officeDocument/2006/relationships/hyperlink" Target="javascript:top.docjs.prev_hit(60)" TargetMode="External"/><Relationship Id="rId139" Type="http://schemas.openxmlformats.org/officeDocument/2006/relationships/hyperlink" Target="javascript:top.docjs.next_hit(70)" TargetMode="External"/><Relationship Id="rId85" Type="http://schemas.openxmlformats.org/officeDocument/2006/relationships/hyperlink" Target="http://taxandaccounting.bna.com.unh-proxy01.newhaven.edu:2048/btac/display/link_res.adp?fedfid=23067410&amp;fname=usc_26_409a&amp;vname=tmwrnot" TargetMode="External"/><Relationship Id="rId150" Type="http://schemas.openxmlformats.org/officeDocument/2006/relationships/hyperlink" Target="javascript:top.docjs.prev_hit(76)" TargetMode="External"/><Relationship Id="rId171" Type="http://schemas.openxmlformats.org/officeDocument/2006/relationships/hyperlink" Target="javascript:top.docjs.next_hit(86)" TargetMode="External"/><Relationship Id="rId192" Type="http://schemas.openxmlformats.org/officeDocument/2006/relationships/hyperlink" Target="javascript:top.docjs.next_hit(95)" TargetMode="External"/><Relationship Id="rId206" Type="http://schemas.openxmlformats.org/officeDocument/2006/relationships/hyperlink" Target="javascript:top.docjs.next_hit(103)" TargetMode="External"/><Relationship Id="rId227" Type="http://schemas.openxmlformats.org/officeDocument/2006/relationships/hyperlink" Target="javascript:top.docjs.prev_hit(114)" TargetMode="External"/><Relationship Id="rId248" Type="http://schemas.openxmlformats.org/officeDocument/2006/relationships/hyperlink" Target="javascript:top.docjs.prev_hit(126)" TargetMode="External"/><Relationship Id="rId269" Type="http://schemas.openxmlformats.org/officeDocument/2006/relationships/theme" Target="theme/theme1.xml"/><Relationship Id="rId12" Type="http://schemas.openxmlformats.org/officeDocument/2006/relationships/hyperlink" Target="javascript:top.docjs.prev_hit(98)" TargetMode="External"/><Relationship Id="rId33" Type="http://schemas.openxmlformats.org/officeDocument/2006/relationships/hyperlink" Target="javascript:top.docjs.next_hit(26)" TargetMode="External"/><Relationship Id="rId108" Type="http://schemas.openxmlformats.org/officeDocument/2006/relationships/hyperlink" Target="javascript:top.docjs.prev_hit(55)" TargetMode="External"/><Relationship Id="rId129" Type="http://schemas.openxmlformats.org/officeDocument/2006/relationships/hyperlink" Target="javascript:top.docjs.next_hit(65)" TargetMode="External"/><Relationship Id="rId54" Type="http://schemas.openxmlformats.org/officeDocument/2006/relationships/hyperlink" Target="http://taxandaccounting.bna.com.unh-proxy01.newhaven.edu:2048/btac/display/link_res.adp?fedfid=23067410&amp;fname=usc_26_457&amp;vname=tmwrnot" TargetMode="External"/><Relationship Id="rId75" Type="http://schemas.openxmlformats.org/officeDocument/2006/relationships/hyperlink" Target="http://taxandaccounting.bna.com.unh-proxy01.newhaven.edu:2048/btac/display/link_res.adp?fedfid=23067410&amp;fname=usc_26_401_k_&amp;vname=tmwrnot" TargetMode="External"/><Relationship Id="rId96" Type="http://schemas.openxmlformats.org/officeDocument/2006/relationships/hyperlink" Target="javascript:top.docjs.prev_hit(49)" TargetMode="External"/><Relationship Id="rId140" Type="http://schemas.openxmlformats.org/officeDocument/2006/relationships/hyperlink" Target="javascript:top.docjs.prev_hit(71)" TargetMode="External"/><Relationship Id="rId161" Type="http://schemas.openxmlformats.org/officeDocument/2006/relationships/hyperlink" Target="javascript:top.docjs.next_hit(81)" TargetMode="External"/><Relationship Id="rId182" Type="http://schemas.openxmlformats.org/officeDocument/2006/relationships/hyperlink" Target="http://taxandaccounting.bna.com.unh-proxy01.newhaven.edu:2048/btac/display/link_res.adp?fedfid=23067410&amp;fname=usc_26_179&amp;vname=tmwrnot" TargetMode="External"/><Relationship Id="rId217" Type="http://schemas.openxmlformats.org/officeDocument/2006/relationships/hyperlink" Target="javascript:top.docjs.prev_hit(109)" TargetMode="External"/><Relationship Id="rId6" Type="http://schemas.openxmlformats.org/officeDocument/2006/relationships/endnotes" Target="endnotes.xml"/><Relationship Id="rId238" Type="http://schemas.openxmlformats.org/officeDocument/2006/relationships/hyperlink" Target="javascript:top.docjs.next_hit(120)" TargetMode="External"/><Relationship Id="rId259" Type="http://schemas.openxmlformats.org/officeDocument/2006/relationships/hyperlink" Target="javascript:top.docjs.next_hit(131)" TargetMode="External"/><Relationship Id="rId23" Type="http://schemas.openxmlformats.org/officeDocument/2006/relationships/hyperlink" Target="javascript:top.docjs.next_hit(21)" TargetMode="External"/><Relationship Id="rId28" Type="http://schemas.openxmlformats.org/officeDocument/2006/relationships/hyperlink" Target="javascript:top.docjs.prev_hit(24)" TargetMode="External"/><Relationship Id="rId49" Type="http://schemas.openxmlformats.org/officeDocument/2006/relationships/hyperlink" Target="javascript:top.docjs.next_hit(34)" TargetMode="External"/><Relationship Id="rId114" Type="http://schemas.openxmlformats.org/officeDocument/2006/relationships/hyperlink" Target="javascript:top.docjs.prev_hit(58)" TargetMode="External"/><Relationship Id="rId119" Type="http://schemas.openxmlformats.org/officeDocument/2006/relationships/hyperlink" Target="javascript:top.docjs.next_hit(60)" TargetMode="External"/><Relationship Id="rId44" Type="http://schemas.openxmlformats.org/officeDocument/2006/relationships/hyperlink" Target="javascript:top.docjs.prev_hit(32)" TargetMode="External"/><Relationship Id="rId60" Type="http://schemas.openxmlformats.org/officeDocument/2006/relationships/hyperlink" Target="javascript:top.docjs.next_hit(37)" TargetMode="External"/><Relationship Id="rId65" Type="http://schemas.openxmlformats.org/officeDocument/2006/relationships/hyperlink" Target="http://taxandaccounting.bna.com.unh-proxy01.newhaven.edu:2048/btac/display/link_res.adp?fedfid=23067410&amp;fname=usc_26_401_k_&amp;vname=tmwrnot" TargetMode="External"/><Relationship Id="rId81" Type="http://schemas.openxmlformats.org/officeDocument/2006/relationships/hyperlink" Target="javascript:top.docjs.prev_hit(42)" TargetMode="External"/><Relationship Id="rId86" Type="http://schemas.openxmlformats.org/officeDocument/2006/relationships/hyperlink" Target="javascript:top.docjs.prev_hit(44)" TargetMode="External"/><Relationship Id="rId130" Type="http://schemas.openxmlformats.org/officeDocument/2006/relationships/hyperlink" Target="javascript:top.docjs.prev_hit(66)" TargetMode="External"/><Relationship Id="rId135" Type="http://schemas.openxmlformats.org/officeDocument/2006/relationships/hyperlink" Target="javascript:top.docjs.next_hit(68)" TargetMode="External"/><Relationship Id="rId151" Type="http://schemas.openxmlformats.org/officeDocument/2006/relationships/hyperlink" Target="javascript:top.docjs.next_hit(76)" TargetMode="External"/><Relationship Id="rId156" Type="http://schemas.openxmlformats.org/officeDocument/2006/relationships/hyperlink" Target="javascript:top.docjs.prev_hit(79)" TargetMode="External"/><Relationship Id="rId177" Type="http://schemas.openxmlformats.org/officeDocument/2006/relationships/hyperlink" Target="javascript:top.docjs.next_hit(89)" TargetMode="External"/><Relationship Id="rId198" Type="http://schemas.openxmlformats.org/officeDocument/2006/relationships/hyperlink" Target="javascript:top.docjs.next_hit(99)" TargetMode="External"/><Relationship Id="rId172" Type="http://schemas.openxmlformats.org/officeDocument/2006/relationships/hyperlink" Target="javascript:top.docjs.prev_hit(87)" TargetMode="External"/><Relationship Id="rId193" Type="http://schemas.openxmlformats.org/officeDocument/2006/relationships/hyperlink" Target="javascript:top.docjs.prev_hit(96)" TargetMode="External"/><Relationship Id="rId202" Type="http://schemas.openxmlformats.org/officeDocument/2006/relationships/hyperlink" Target="javascript:top.docjs.next_hit(101)" TargetMode="External"/><Relationship Id="rId207" Type="http://schemas.openxmlformats.org/officeDocument/2006/relationships/hyperlink" Target="javascript:top.docjs.prev_hit(104)" TargetMode="External"/><Relationship Id="rId223" Type="http://schemas.openxmlformats.org/officeDocument/2006/relationships/hyperlink" Target="javascript:top.docjs.prev_hit(112)" TargetMode="External"/><Relationship Id="rId228" Type="http://schemas.openxmlformats.org/officeDocument/2006/relationships/hyperlink" Target="javascript:top.docjs.next_hit(114)" TargetMode="External"/><Relationship Id="rId244" Type="http://schemas.openxmlformats.org/officeDocument/2006/relationships/hyperlink" Target="javascript:top.docjs.next_hit(123)" TargetMode="External"/><Relationship Id="rId249" Type="http://schemas.openxmlformats.org/officeDocument/2006/relationships/hyperlink" Target="javascript:top.docjs.next_hit(126)" TargetMode="External"/><Relationship Id="rId13" Type="http://schemas.openxmlformats.org/officeDocument/2006/relationships/hyperlink" Target="javascript:top.docjs.next_hit(98)" TargetMode="External"/><Relationship Id="rId18" Type="http://schemas.openxmlformats.org/officeDocument/2006/relationships/hyperlink" Target="javascript:top.docjs.prev_hit(19)" TargetMode="External"/><Relationship Id="rId39" Type="http://schemas.openxmlformats.org/officeDocument/2006/relationships/hyperlink" Target="javascript:top.docjs.next_hit(29)" TargetMode="External"/><Relationship Id="rId109" Type="http://schemas.openxmlformats.org/officeDocument/2006/relationships/hyperlink" Target="javascript:top.docjs.next_hit(55)" TargetMode="External"/><Relationship Id="rId260" Type="http://schemas.openxmlformats.org/officeDocument/2006/relationships/hyperlink" Target="javascript:top.docjs.prev_hit(132)" TargetMode="External"/><Relationship Id="rId265" Type="http://schemas.openxmlformats.org/officeDocument/2006/relationships/hyperlink" Target="javascript:top.docjs.next_hit(134)" TargetMode="External"/><Relationship Id="rId34" Type="http://schemas.openxmlformats.org/officeDocument/2006/relationships/hyperlink" Target="javascript:top.docjs.prev_hit(27)" TargetMode="External"/><Relationship Id="rId50" Type="http://schemas.openxmlformats.org/officeDocument/2006/relationships/hyperlink" Target="http://taxandaccounting.bna.com.unh-proxy01.newhaven.edu:2048/btac/display/link_res.adp?fedfid=23067410&amp;fname=usc_26_401_a_&amp;vname=tmwrnot" TargetMode="External"/><Relationship Id="rId55" Type="http://schemas.openxmlformats.org/officeDocument/2006/relationships/hyperlink" Target="javascript:top.docjs.prev_hit(36)" TargetMode="External"/><Relationship Id="rId76" Type="http://schemas.openxmlformats.org/officeDocument/2006/relationships/hyperlink" Target="http://taxandaccounting.bna.com.unh-proxy01.newhaven.edu:2048/btac/display/link_res.adp?fedfid=23067410&amp;fname=usc_26_403_a_&amp;vname=tmwrnot" TargetMode="External"/><Relationship Id="rId97" Type="http://schemas.openxmlformats.org/officeDocument/2006/relationships/hyperlink" Target="javascript:top.docjs.next_hit(49)" TargetMode="External"/><Relationship Id="rId104" Type="http://schemas.openxmlformats.org/officeDocument/2006/relationships/hyperlink" Target="javascript:top.docjs.prev_hit(53)" TargetMode="External"/><Relationship Id="rId120" Type="http://schemas.openxmlformats.org/officeDocument/2006/relationships/hyperlink" Target="javascript:top.docjs.prev_hit(61)" TargetMode="External"/><Relationship Id="rId125" Type="http://schemas.openxmlformats.org/officeDocument/2006/relationships/hyperlink" Target="javascript:top.docjs.next_hit(63)" TargetMode="External"/><Relationship Id="rId141" Type="http://schemas.openxmlformats.org/officeDocument/2006/relationships/hyperlink" Target="javascript:top.docjs.next_hit(71)" TargetMode="External"/><Relationship Id="rId146" Type="http://schemas.openxmlformats.org/officeDocument/2006/relationships/hyperlink" Target="javascript:top.docjs.prev_hit(74)" TargetMode="External"/><Relationship Id="rId167" Type="http://schemas.openxmlformats.org/officeDocument/2006/relationships/hyperlink" Target="javascript:top.docjs.next_hit(84)" TargetMode="External"/><Relationship Id="rId188" Type="http://schemas.openxmlformats.org/officeDocument/2006/relationships/hyperlink" Target="javascript:top.docjs.next_hit(93)" TargetMode="External"/><Relationship Id="rId7" Type="http://schemas.openxmlformats.org/officeDocument/2006/relationships/hyperlink" Target="javascript:top.docjs.prev_hit(10)" TargetMode="External"/><Relationship Id="rId71" Type="http://schemas.openxmlformats.org/officeDocument/2006/relationships/hyperlink" Target="http://taxandaccounting.bna.com.unh-proxy01.newhaven.edu:2048/btac/display/link_res.adp?fedfid=23067410&amp;fname=usc_26_403_b_&amp;vname=tmwrnot" TargetMode="External"/><Relationship Id="rId92" Type="http://schemas.openxmlformats.org/officeDocument/2006/relationships/hyperlink" Target="javascript:top.docjs.prev_hit(47)" TargetMode="External"/><Relationship Id="rId162" Type="http://schemas.openxmlformats.org/officeDocument/2006/relationships/hyperlink" Target="javascript:top.docjs.prev_hit(82)" TargetMode="External"/><Relationship Id="rId183" Type="http://schemas.openxmlformats.org/officeDocument/2006/relationships/hyperlink" Target="javascript:top.docjs.prev_hit(91)" TargetMode="External"/><Relationship Id="rId213" Type="http://schemas.openxmlformats.org/officeDocument/2006/relationships/hyperlink" Target="javascript:top.docjs.prev_hit(107)" TargetMode="External"/><Relationship Id="rId218" Type="http://schemas.openxmlformats.org/officeDocument/2006/relationships/hyperlink" Target="javascript:top.docjs.next_hit(109)" TargetMode="External"/><Relationship Id="rId234" Type="http://schemas.openxmlformats.org/officeDocument/2006/relationships/hyperlink" Target="javascript:top.docjs.next_hit(118)" TargetMode="External"/><Relationship Id="rId239" Type="http://schemas.openxmlformats.org/officeDocument/2006/relationships/hyperlink" Target="javascript:top.docjs.prev_hit(121)" TargetMode="External"/><Relationship Id="rId2" Type="http://schemas.openxmlformats.org/officeDocument/2006/relationships/styles" Target="styles.xml"/><Relationship Id="rId29" Type="http://schemas.openxmlformats.org/officeDocument/2006/relationships/hyperlink" Target="javascript:top.docjs.next_hit(24)" TargetMode="External"/><Relationship Id="rId250" Type="http://schemas.openxmlformats.org/officeDocument/2006/relationships/hyperlink" Target="javascript:top.docjs.prev_hit(127)" TargetMode="External"/><Relationship Id="rId255" Type="http://schemas.openxmlformats.org/officeDocument/2006/relationships/hyperlink" Target="javascript:top.docjs.next_hit(129)" TargetMode="External"/><Relationship Id="rId24" Type="http://schemas.openxmlformats.org/officeDocument/2006/relationships/hyperlink" Target="javascript:top.docjs.prev_hit(22)" TargetMode="External"/><Relationship Id="rId40" Type="http://schemas.openxmlformats.org/officeDocument/2006/relationships/hyperlink" Target="javascript:top.docjs.prev_hit(30)" TargetMode="External"/><Relationship Id="rId45" Type="http://schemas.openxmlformats.org/officeDocument/2006/relationships/hyperlink" Target="javascript:top.docjs.next_hit(32)" TargetMode="External"/><Relationship Id="rId66" Type="http://schemas.openxmlformats.org/officeDocument/2006/relationships/hyperlink" Target="http://taxandaccounting.bna.com.unh-proxy01.newhaven.edu:2048/btac/display/link_res.adp?fedfid=23067410&amp;fname=usc_26_403_b_&amp;vname=tmwrnot" TargetMode="External"/><Relationship Id="rId87" Type="http://schemas.openxmlformats.org/officeDocument/2006/relationships/hyperlink" Target="javascript:top.docjs.next_hit(44)" TargetMode="External"/><Relationship Id="rId110" Type="http://schemas.openxmlformats.org/officeDocument/2006/relationships/hyperlink" Target="javascript:top.docjs.prev_hit(56)" TargetMode="External"/><Relationship Id="rId115" Type="http://schemas.openxmlformats.org/officeDocument/2006/relationships/hyperlink" Target="javascript:top.docjs.next_hit(58)" TargetMode="External"/><Relationship Id="rId131" Type="http://schemas.openxmlformats.org/officeDocument/2006/relationships/hyperlink" Target="javascript:top.docjs.next_hit(66)" TargetMode="External"/><Relationship Id="rId136" Type="http://schemas.openxmlformats.org/officeDocument/2006/relationships/hyperlink" Target="javascript:top.docjs.prev_hit(69)" TargetMode="External"/><Relationship Id="rId157" Type="http://schemas.openxmlformats.org/officeDocument/2006/relationships/hyperlink" Target="javascript:top.docjs.next_hit(79)" TargetMode="External"/><Relationship Id="rId178" Type="http://schemas.openxmlformats.org/officeDocument/2006/relationships/hyperlink" Target="javascript:top.docjs.prev_hit(90)" TargetMode="External"/><Relationship Id="rId61" Type="http://schemas.openxmlformats.org/officeDocument/2006/relationships/hyperlink" Target="javascript:top.docjs.prev_hit(38)" TargetMode="External"/><Relationship Id="rId82" Type="http://schemas.openxmlformats.org/officeDocument/2006/relationships/hyperlink" Target="javascript:top.docjs.next_hit(42)" TargetMode="External"/><Relationship Id="rId152" Type="http://schemas.openxmlformats.org/officeDocument/2006/relationships/hyperlink" Target="javascript:top.docjs.prev_hit(77)" TargetMode="External"/><Relationship Id="rId173" Type="http://schemas.openxmlformats.org/officeDocument/2006/relationships/hyperlink" Target="javascript:top.docjs.next_hit(87)" TargetMode="External"/><Relationship Id="rId194" Type="http://schemas.openxmlformats.org/officeDocument/2006/relationships/hyperlink" Target="javascript:top.docjs.next_hit(96)" TargetMode="External"/><Relationship Id="rId199" Type="http://schemas.openxmlformats.org/officeDocument/2006/relationships/hyperlink" Target="javascript:top.docjs.prev_hit(100)" TargetMode="External"/><Relationship Id="rId203" Type="http://schemas.openxmlformats.org/officeDocument/2006/relationships/hyperlink" Target="javascript:top.docjs.prev_hit(102)" TargetMode="External"/><Relationship Id="rId208" Type="http://schemas.openxmlformats.org/officeDocument/2006/relationships/hyperlink" Target="javascript:top.docjs.next_hit(104)" TargetMode="External"/><Relationship Id="rId229" Type="http://schemas.openxmlformats.org/officeDocument/2006/relationships/hyperlink" Target="javascript:top.docjs.prev_hit(115)" TargetMode="External"/><Relationship Id="rId19" Type="http://schemas.openxmlformats.org/officeDocument/2006/relationships/hyperlink" Target="javascript:top.docjs.next_hit(19)" TargetMode="External"/><Relationship Id="rId224" Type="http://schemas.openxmlformats.org/officeDocument/2006/relationships/hyperlink" Target="javascript:top.docjs.next_hit(112)" TargetMode="External"/><Relationship Id="rId240" Type="http://schemas.openxmlformats.org/officeDocument/2006/relationships/hyperlink" Target="javascript:top.docjs.next_hit(121)" TargetMode="External"/><Relationship Id="rId245" Type="http://schemas.openxmlformats.org/officeDocument/2006/relationships/hyperlink" Target="http://taxandaccounting.bna.com.unh-proxy01.newhaven.edu:2048/btac/display/link_res.adp?fedfid=23067410&amp;fname=usc_26_529&amp;vname=tmwrnot" TargetMode="External"/><Relationship Id="rId261" Type="http://schemas.openxmlformats.org/officeDocument/2006/relationships/hyperlink" Target="javascript:top.docjs.next_hit(132)" TargetMode="External"/><Relationship Id="rId266" Type="http://schemas.openxmlformats.org/officeDocument/2006/relationships/header" Target="header1.xml"/><Relationship Id="rId14" Type="http://schemas.openxmlformats.org/officeDocument/2006/relationships/hyperlink" Target="javascript:top.docjs.prev_hit(116)" TargetMode="External"/><Relationship Id="rId30" Type="http://schemas.openxmlformats.org/officeDocument/2006/relationships/hyperlink" Target="javascript:top.docjs.prev_hit(25)" TargetMode="External"/><Relationship Id="rId35" Type="http://schemas.openxmlformats.org/officeDocument/2006/relationships/hyperlink" Target="javascript:top.docjs.next_hit(27)" TargetMode="External"/><Relationship Id="rId56" Type="http://schemas.openxmlformats.org/officeDocument/2006/relationships/hyperlink" Target="javascript:top.docjs.next_hit(36)" TargetMode="External"/><Relationship Id="rId77" Type="http://schemas.openxmlformats.org/officeDocument/2006/relationships/hyperlink" Target="http://taxandaccounting.bna.com.unh-proxy01.newhaven.edu:2048/btac/display/link_res.adp?fedfid=23067410&amp;fname=usc_26_403_b_&amp;vname=tmwrnot" TargetMode="External"/><Relationship Id="rId100" Type="http://schemas.openxmlformats.org/officeDocument/2006/relationships/hyperlink" Target="javascript:top.docjs.prev_hit(51)" TargetMode="External"/><Relationship Id="rId105" Type="http://schemas.openxmlformats.org/officeDocument/2006/relationships/hyperlink" Target="javascript:top.docjs.next_hit(53)" TargetMode="External"/><Relationship Id="rId126" Type="http://schemas.openxmlformats.org/officeDocument/2006/relationships/hyperlink" Target="javascript:top.docjs.prev_hit(64)" TargetMode="External"/><Relationship Id="rId147" Type="http://schemas.openxmlformats.org/officeDocument/2006/relationships/hyperlink" Target="javascript:top.docjs.next_hit(74)" TargetMode="External"/><Relationship Id="rId168" Type="http://schemas.openxmlformats.org/officeDocument/2006/relationships/hyperlink" Target="javascript:top.docjs.prev_hit(85)" TargetMode="External"/><Relationship Id="rId8" Type="http://schemas.openxmlformats.org/officeDocument/2006/relationships/image" Target="media/image1.gif"/><Relationship Id="rId51" Type="http://schemas.openxmlformats.org/officeDocument/2006/relationships/hyperlink" Target="http://taxandaccounting.bna.com.unh-proxy01.newhaven.edu:2048/btac/display/link_res.adp?fedfid=23067410&amp;fname=usc_26_403_b_&amp;vname=tmwrnot" TargetMode="External"/><Relationship Id="rId72" Type="http://schemas.openxmlformats.org/officeDocument/2006/relationships/hyperlink" Target="http://taxandaccounting.bna.com.unh-proxy01.newhaven.edu:2048/btac/display/link_res.adp?fedfid=23067410&amp;fname=usc_26_457&amp;vname=tmwrnot" TargetMode="External"/><Relationship Id="rId93" Type="http://schemas.openxmlformats.org/officeDocument/2006/relationships/hyperlink" Target="javascript:top.docjs.next_hit(47)" TargetMode="External"/><Relationship Id="rId98" Type="http://schemas.openxmlformats.org/officeDocument/2006/relationships/hyperlink" Target="javascript:top.docjs.prev_hit(50)" TargetMode="External"/><Relationship Id="rId121" Type="http://schemas.openxmlformats.org/officeDocument/2006/relationships/hyperlink" Target="javascript:top.docjs.next_hit(61)" TargetMode="External"/><Relationship Id="rId142" Type="http://schemas.openxmlformats.org/officeDocument/2006/relationships/hyperlink" Target="javascript:top.docjs.prev_hit(72)" TargetMode="External"/><Relationship Id="rId163" Type="http://schemas.openxmlformats.org/officeDocument/2006/relationships/hyperlink" Target="javascript:top.docjs.next_hit(82)" TargetMode="External"/><Relationship Id="rId184" Type="http://schemas.openxmlformats.org/officeDocument/2006/relationships/hyperlink" Target="javascript:top.docjs.next_hit(91)" TargetMode="External"/><Relationship Id="rId189" Type="http://schemas.openxmlformats.org/officeDocument/2006/relationships/hyperlink" Target="javascript:top.docjs.prev_hit(94)" TargetMode="External"/><Relationship Id="rId219" Type="http://schemas.openxmlformats.org/officeDocument/2006/relationships/hyperlink" Target="javascript:top.docjs.prev_hit(110)" TargetMode="External"/><Relationship Id="rId3" Type="http://schemas.openxmlformats.org/officeDocument/2006/relationships/settings" Target="settings.xml"/><Relationship Id="rId214" Type="http://schemas.openxmlformats.org/officeDocument/2006/relationships/hyperlink" Target="javascript:top.docjs.next_hit(107)" TargetMode="External"/><Relationship Id="rId230" Type="http://schemas.openxmlformats.org/officeDocument/2006/relationships/hyperlink" Target="javascript:top.docjs.next_hit(115)" TargetMode="External"/><Relationship Id="rId235" Type="http://schemas.openxmlformats.org/officeDocument/2006/relationships/hyperlink" Target="javascript:top.docjs.prev_hit(119)" TargetMode="External"/><Relationship Id="rId251" Type="http://schemas.openxmlformats.org/officeDocument/2006/relationships/hyperlink" Target="javascript:top.docjs.next_hit(127)" TargetMode="External"/><Relationship Id="rId256" Type="http://schemas.openxmlformats.org/officeDocument/2006/relationships/hyperlink" Target="javascript:top.docjs.prev_hit(130)" TargetMode="External"/><Relationship Id="rId25" Type="http://schemas.openxmlformats.org/officeDocument/2006/relationships/hyperlink" Target="javascript:top.docjs.next_hit(22)" TargetMode="External"/><Relationship Id="rId46" Type="http://schemas.openxmlformats.org/officeDocument/2006/relationships/hyperlink" Target="javascript:top.docjs.prev_hit(33)" TargetMode="External"/><Relationship Id="rId67" Type="http://schemas.openxmlformats.org/officeDocument/2006/relationships/hyperlink" Target="http://taxandaccounting.bna.com.unh-proxy01.newhaven.edu:2048/btac/display/link_res.adp?fedfid=23067410&amp;fname=usc_26_457_b_&amp;vname=tmwrnot" TargetMode="External"/><Relationship Id="rId116" Type="http://schemas.openxmlformats.org/officeDocument/2006/relationships/hyperlink" Target="javascript:top.docjs.prev_hit(59)" TargetMode="External"/><Relationship Id="rId137" Type="http://schemas.openxmlformats.org/officeDocument/2006/relationships/hyperlink" Target="javascript:top.docjs.next_hit(69)" TargetMode="External"/><Relationship Id="rId158" Type="http://schemas.openxmlformats.org/officeDocument/2006/relationships/hyperlink" Target="javascript:top.docjs.prev_hit(80)" TargetMode="External"/><Relationship Id="rId20" Type="http://schemas.openxmlformats.org/officeDocument/2006/relationships/hyperlink" Target="javascript:top.docjs.prev_hit(20)" TargetMode="External"/><Relationship Id="rId41" Type="http://schemas.openxmlformats.org/officeDocument/2006/relationships/hyperlink" Target="javascript:top.docjs.next_hit(30)" TargetMode="External"/><Relationship Id="rId62" Type="http://schemas.openxmlformats.org/officeDocument/2006/relationships/hyperlink" Target="javascript:top.docjs.next_hit(38)" TargetMode="External"/><Relationship Id="rId83" Type="http://schemas.openxmlformats.org/officeDocument/2006/relationships/hyperlink" Target="javascript:top.docjs.prev_hit(43)" TargetMode="External"/><Relationship Id="rId88" Type="http://schemas.openxmlformats.org/officeDocument/2006/relationships/hyperlink" Target="javascript:top.docjs.prev_hit(45)" TargetMode="External"/><Relationship Id="rId111" Type="http://schemas.openxmlformats.org/officeDocument/2006/relationships/hyperlink" Target="javascript:top.docjs.next_hit(56)" TargetMode="External"/><Relationship Id="rId132" Type="http://schemas.openxmlformats.org/officeDocument/2006/relationships/hyperlink" Target="javascript:top.docjs.prev_hit(67)" TargetMode="External"/><Relationship Id="rId153" Type="http://schemas.openxmlformats.org/officeDocument/2006/relationships/hyperlink" Target="javascript:top.docjs.next_hit(77)" TargetMode="External"/><Relationship Id="rId174" Type="http://schemas.openxmlformats.org/officeDocument/2006/relationships/hyperlink" Target="javascript:top.docjs.prev_hit(88)" TargetMode="External"/><Relationship Id="rId179" Type="http://schemas.openxmlformats.org/officeDocument/2006/relationships/hyperlink" Target="javascript:top.docjs.next_hit(90)" TargetMode="External"/><Relationship Id="rId195" Type="http://schemas.openxmlformats.org/officeDocument/2006/relationships/hyperlink" Target="javascript:top.docjs.prev_hit(97)" TargetMode="External"/><Relationship Id="rId209" Type="http://schemas.openxmlformats.org/officeDocument/2006/relationships/hyperlink" Target="javascript:top.docjs.prev_hit(105)" TargetMode="External"/><Relationship Id="rId190" Type="http://schemas.openxmlformats.org/officeDocument/2006/relationships/hyperlink" Target="javascript:top.docjs.next_hit(94)" TargetMode="External"/><Relationship Id="rId204" Type="http://schemas.openxmlformats.org/officeDocument/2006/relationships/hyperlink" Target="javascript:top.docjs.next_hit(102)" TargetMode="External"/><Relationship Id="rId220" Type="http://schemas.openxmlformats.org/officeDocument/2006/relationships/hyperlink" Target="javascript:top.docjs.next_hit(110)" TargetMode="External"/><Relationship Id="rId225" Type="http://schemas.openxmlformats.org/officeDocument/2006/relationships/hyperlink" Target="javascript:top.docjs.prev_hit(113)" TargetMode="External"/><Relationship Id="rId241" Type="http://schemas.openxmlformats.org/officeDocument/2006/relationships/hyperlink" Target="javascript:top.docjs.prev_hit(122)" TargetMode="External"/><Relationship Id="rId246" Type="http://schemas.openxmlformats.org/officeDocument/2006/relationships/hyperlink" Target="javascript:top.docjs.prev_hit(125)" TargetMode="External"/><Relationship Id="rId267" Type="http://schemas.openxmlformats.org/officeDocument/2006/relationships/footer" Target="footer1.xml"/><Relationship Id="rId15" Type="http://schemas.openxmlformats.org/officeDocument/2006/relationships/hyperlink" Target="javascript:top.docjs.next_hit(116)" TargetMode="External"/><Relationship Id="rId36" Type="http://schemas.openxmlformats.org/officeDocument/2006/relationships/hyperlink" Target="javascript:top.docjs.prev_hit(28)" TargetMode="External"/><Relationship Id="rId57" Type="http://schemas.openxmlformats.org/officeDocument/2006/relationships/hyperlink" Target="http://taxandaccounting.bna.com.unh-proxy01.newhaven.edu:2048/btac/display/link_res.adp?fedfid=23067410&amp;fname=usc_26_401&amp;vname=tmwrnot" TargetMode="External"/><Relationship Id="rId106" Type="http://schemas.openxmlformats.org/officeDocument/2006/relationships/hyperlink" Target="javascript:top.docjs.prev_hit(54)" TargetMode="External"/><Relationship Id="rId127" Type="http://schemas.openxmlformats.org/officeDocument/2006/relationships/hyperlink" Target="javascript:top.docjs.next_hit(64)" TargetMode="External"/><Relationship Id="rId262" Type="http://schemas.openxmlformats.org/officeDocument/2006/relationships/hyperlink" Target="javascript:top.docjs.prev_hit(133)" TargetMode="External"/><Relationship Id="rId10" Type="http://schemas.openxmlformats.org/officeDocument/2006/relationships/hyperlink" Target="javascript:top.docjs.prev_hit(11)" TargetMode="External"/><Relationship Id="rId31" Type="http://schemas.openxmlformats.org/officeDocument/2006/relationships/hyperlink" Target="javascript:top.docjs.next_hit(25)" TargetMode="External"/><Relationship Id="rId52" Type="http://schemas.openxmlformats.org/officeDocument/2006/relationships/hyperlink" Target="javascript:top.docjs.prev_hit(35)" TargetMode="External"/><Relationship Id="rId73" Type="http://schemas.openxmlformats.org/officeDocument/2006/relationships/hyperlink" Target="javascript:top.docjs.prev_hit(40)" TargetMode="External"/><Relationship Id="rId78" Type="http://schemas.openxmlformats.org/officeDocument/2006/relationships/hyperlink" Target="http://taxandaccounting.bna.com.unh-proxy01.newhaven.edu:2048/btac/display/link_res.adp?fedfid=23067410&amp;fname=usc_26_457_b_&amp;vname=tmwrnot" TargetMode="External"/><Relationship Id="rId94" Type="http://schemas.openxmlformats.org/officeDocument/2006/relationships/hyperlink" Target="javascript:top.docjs.prev_hit(48)" TargetMode="External"/><Relationship Id="rId99" Type="http://schemas.openxmlformats.org/officeDocument/2006/relationships/hyperlink" Target="javascript:top.docjs.next_hit(50)" TargetMode="External"/><Relationship Id="rId101" Type="http://schemas.openxmlformats.org/officeDocument/2006/relationships/hyperlink" Target="javascript:top.docjs.next_hit(51)" TargetMode="External"/><Relationship Id="rId122" Type="http://schemas.openxmlformats.org/officeDocument/2006/relationships/hyperlink" Target="javascript:top.docjs.prev_hit(62)" TargetMode="External"/><Relationship Id="rId143" Type="http://schemas.openxmlformats.org/officeDocument/2006/relationships/hyperlink" Target="javascript:top.docjs.next_hit(72)" TargetMode="External"/><Relationship Id="rId148" Type="http://schemas.openxmlformats.org/officeDocument/2006/relationships/hyperlink" Target="javascript:top.docjs.prev_hit(75)" TargetMode="External"/><Relationship Id="rId164" Type="http://schemas.openxmlformats.org/officeDocument/2006/relationships/hyperlink" Target="javascript:top.docjs.prev_hit(83)" TargetMode="External"/><Relationship Id="rId169" Type="http://schemas.openxmlformats.org/officeDocument/2006/relationships/hyperlink" Target="javascript:top.docjs.next_hit(85)" TargetMode="External"/><Relationship Id="rId185" Type="http://schemas.openxmlformats.org/officeDocument/2006/relationships/hyperlink" Target="javascript:top.docjs.prev_hit(92)" TargetMode="External"/><Relationship Id="rId4" Type="http://schemas.openxmlformats.org/officeDocument/2006/relationships/webSettings" Target="webSettings.xml"/><Relationship Id="rId9" Type="http://schemas.openxmlformats.org/officeDocument/2006/relationships/hyperlink" Target="javascript:top.docjs.next_hit(10)" TargetMode="External"/><Relationship Id="rId180" Type="http://schemas.openxmlformats.org/officeDocument/2006/relationships/hyperlink" Target="http://taxandaccounting.bna.com.unh-proxy01.newhaven.edu:2048/btac/display/link_res.adp?fedfid=23067410&amp;fname=usc_26_179&amp;vname=tmwrnot" TargetMode="External"/><Relationship Id="rId210" Type="http://schemas.openxmlformats.org/officeDocument/2006/relationships/hyperlink" Target="javascript:top.docjs.next_hit(105)" TargetMode="External"/><Relationship Id="rId215" Type="http://schemas.openxmlformats.org/officeDocument/2006/relationships/hyperlink" Target="javascript:top.docjs.prev_hit(108)" TargetMode="External"/><Relationship Id="rId236" Type="http://schemas.openxmlformats.org/officeDocument/2006/relationships/hyperlink" Target="javascript:top.docjs.next_hit(119)" TargetMode="External"/><Relationship Id="rId257" Type="http://schemas.openxmlformats.org/officeDocument/2006/relationships/hyperlink" Target="javascript:top.docjs.next_hit(130)" TargetMode="External"/><Relationship Id="rId26" Type="http://schemas.openxmlformats.org/officeDocument/2006/relationships/hyperlink" Target="javascript:top.docjs.prev_hit(23)" TargetMode="External"/><Relationship Id="rId231" Type="http://schemas.openxmlformats.org/officeDocument/2006/relationships/hyperlink" Target="javascript:top.docjs.prev_hit(117)" TargetMode="External"/><Relationship Id="rId252" Type="http://schemas.openxmlformats.org/officeDocument/2006/relationships/hyperlink" Target="javascript:top.docjs.prev_hit(128)" TargetMode="External"/><Relationship Id="rId47" Type="http://schemas.openxmlformats.org/officeDocument/2006/relationships/hyperlink" Target="javascript:top.docjs.next_hit(33)" TargetMode="External"/><Relationship Id="rId68" Type="http://schemas.openxmlformats.org/officeDocument/2006/relationships/hyperlink" Target="http://taxandaccounting.bna.com.unh-proxy01.newhaven.edu:2048/btac/display/link_res.adp?fedfid=23067410&amp;fname=usc_26_401_k_&amp;vname=tmwrnot" TargetMode="External"/><Relationship Id="rId89" Type="http://schemas.openxmlformats.org/officeDocument/2006/relationships/hyperlink" Target="javascript:top.docjs.next_hit(45)" TargetMode="External"/><Relationship Id="rId112" Type="http://schemas.openxmlformats.org/officeDocument/2006/relationships/hyperlink" Target="javascript:top.docjs.prev_hit(57)" TargetMode="External"/><Relationship Id="rId133" Type="http://schemas.openxmlformats.org/officeDocument/2006/relationships/hyperlink" Target="javascript:top.docjs.next_hit(67)" TargetMode="External"/><Relationship Id="rId154" Type="http://schemas.openxmlformats.org/officeDocument/2006/relationships/hyperlink" Target="javascript:top.docjs.prev_hit(78)" TargetMode="External"/><Relationship Id="rId175" Type="http://schemas.openxmlformats.org/officeDocument/2006/relationships/hyperlink" Target="javascript:top.docjs.next_hit(88)" TargetMode="External"/><Relationship Id="rId196" Type="http://schemas.openxmlformats.org/officeDocument/2006/relationships/hyperlink" Target="javascript:top.docjs.next_hit(97)" TargetMode="External"/><Relationship Id="rId200" Type="http://schemas.openxmlformats.org/officeDocument/2006/relationships/hyperlink" Target="javascript:top.docjs.next_hit(100)" TargetMode="External"/><Relationship Id="rId16" Type="http://schemas.openxmlformats.org/officeDocument/2006/relationships/hyperlink" Target="javascript:top.docjs.prev_hit(124)" TargetMode="External"/><Relationship Id="rId221" Type="http://schemas.openxmlformats.org/officeDocument/2006/relationships/hyperlink" Target="javascript:top.docjs.prev_hit(111)" TargetMode="External"/><Relationship Id="rId242" Type="http://schemas.openxmlformats.org/officeDocument/2006/relationships/hyperlink" Target="javascript:top.docjs.next_hit(122)" TargetMode="External"/><Relationship Id="rId263" Type="http://schemas.openxmlformats.org/officeDocument/2006/relationships/hyperlink" Target="javascript:top.docjs.next_hit(133)" TargetMode="External"/><Relationship Id="rId37" Type="http://schemas.openxmlformats.org/officeDocument/2006/relationships/hyperlink" Target="javascript:top.docjs.next_hit(28)" TargetMode="External"/><Relationship Id="rId58" Type="http://schemas.openxmlformats.org/officeDocument/2006/relationships/hyperlink" Target="http://taxandaccounting.bna.com.unh-proxy01.newhaven.edu:2048/btac/display/link_res.adp?fedfid=23067410&amp;fname=usc_26_403_b_&amp;vname=tmwrnot" TargetMode="External"/><Relationship Id="rId79" Type="http://schemas.openxmlformats.org/officeDocument/2006/relationships/hyperlink" Target="javascript:top.docjs.prev_hit(41)" TargetMode="External"/><Relationship Id="rId102" Type="http://schemas.openxmlformats.org/officeDocument/2006/relationships/hyperlink" Target="javascript:top.docjs.prev_hit(52)" TargetMode="External"/><Relationship Id="rId123" Type="http://schemas.openxmlformats.org/officeDocument/2006/relationships/hyperlink" Target="javascript:top.docjs.next_hit(62)" TargetMode="External"/><Relationship Id="rId144" Type="http://schemas.openxmlformats.org/officeDocument/2006/relationships/hyperlink" Target="javascript:top.docjs.prev_hit(73)" TargetMode="External"/><Relationship Id="rId90" Type="http://schemas.openxmlformats.org/officeDocument/2006/relationships/hyperlink" Target="javascript:top.docjs.prev_hit(46)" TargetMode="External"/><Relationship Id="rId165" Type="http://schemas.openxmlformats.org/officeDocument/2006/relationships/hyperlink" Target="javascript:top.docjs.next_hit(83)" TargetMode="External"/><Relationship Id="rId186" Type="http://schemas.openxmlformats.org/officeDocument/2006/relationships/hyperlink" Target="javascript:top.docjs.next_hit(92)" TargetMode="External"/><Relationship Id="rId211" Type="http://schemas.openxmlformats.org/officeDocument/2006/relationships/hyperlink" Target="javascript:top.docjs.prev_hit(106)" TargetMode="External"/><Relationship Id="rId232" Type="http://schemas.openxmlformats.org/officeDocument/2006/relationships/hyperlink" Target="javascript:top.docjs.next_hit(117)" TargetMode="External"/><Relationship Id="rId253" Type="http://schemas.openxmlformats.org/officeDocument/2006/relationships/hyperlink" Target="javascript:top.docjs.next_hit(128)" TargetMode="External"/><Relationship Id="rId27" Type="http://schemas.openxmlformats.org/officeDocument/2006/relationships/hyperlink" Target="javascript:top.docjs.next_hit(23)" TargetMode="External"/><Relationship Id="rId48" Type="http://schemas.openxmlformats.org/officeDocument/2006/relationships/hyperlink" Target="javascript:top.docjs.prev_hit(34)" TargetMode="External"/><Relationship Id="rId69" Type="http://schemas.openxmlformats.org/officeDocument/2006/relationships/hyperlink" Target="http://taxandaccounting.bna.com.unh-proxy01.newhaven.edu:2048/btac/display/link_res.adp?fedfid=23067410&amp;fname=usc_26_401_k_&amp;vname=tmwrnot" TargetMode="External"/><Relationship Id="rId113" Type="http://schemas.openxmlformats.org/officeDocument/2006/relationships/hyperlink" Target="javascript:top.docjs.next_hit(57)" TargetMode="External"/><Relationship Id="rId134" Type="http://schemas.openxmlformats.org/officeDocument/2006/relationships/hyperlink" Target="javascript:top.docjs.prev_hit(68)" TargetMode="External"/><Relationship Id="rId80" Type="http://schemas.openxmlformats.org/officeDocument/2006/relationships/hyperlink" Target="javascript:top.docjs.next_hit(41)" TargetMode="External"/><Relationship Id="rId155" Type="http://schemas.openxmlformats.org/officeDocument/2006/relationships/hyperlink" Target="javascript:top.docjs.next_hit(78)" TargetMode="External"/><Relationship Id="rId176" Type="http://schemas.openxmlformats.org/officeDocument/2006/relationships/hyperlink" Target="javascript:top.docjs.prev_hit(89)" TargetMode="External"/><Relationship Id="rId197" Type="http://schemas.openxmlformats.org/officeDocument/2006/relationships/hyperlink" Target="javascript:top.docjs.prev_hit(99)" TargetMode="External"/><Relationship Id="rId201" Type="http://schemas.openxmlformats.org/officeDocument/2006/relationships/hyperlink" Target="javascript:top.docjs.prev_hit(101)" TargetMode="External"/><Relationship Id="rId222" Type="http://schemas.openxmlformats.org/officeDocument/2006/relationships/hyperlink" Target="javascript:top.docjs.next_hit(111)" TargetMode="External"/><Relationship Id="rId243" Type="http://schemas.openxmlformats.org/officeDocument/2006/relationships/hyperlink" Target="javascript:top.docjs.prev_hit(123)" TargetMode="External"/><Relationship Id="rId264" Type="http://schemas.openxmlformats.org/officeDocument/2006/relationships/hyperlink" Target="javascript:top.docjs.prev_hit(134)" TargetMode="External"/><Relationship Id="rId17" Type="http://schemas.openxmlformats.org/officeDocument/2006/relationships/hyperlink" Target="javascript:top.docjs.next_hit(124)" TargetMode="External"/><Relationship Id="rId38" Type="http://schemas.openxmlformats.org/officeDocument/2006/relationships/hyperlink" Target="javascript:top.docjs.prev_hit(29)" TargetMode="External"/><Relationship Id="rId59" Type="http://schemas.openxmlformats.org/officeDocument/2006/relationships/hyperlink" Target="javascript:top.docjs.prev_hit(37)" TargetMode="External"/><Relationship Id="rId103" Type="http://schemas.openxmlformats.org/officeDocument/2006/relationships/hyperlink" Target="javascript:top.docjs.next_hit(52)" TargetMode="External"/><Relationship Id="rId124" Type="http://schemas.openxmlformats.org/officeDocument/2006/relationships/hyperlink" Target="javascript:top.docjs.prev_hit(63)" TargetMode="External"/><Relationship Id="rId70" Type="http://schemas.openxmlformats.org/officeDocument/2006/relationships/hyperlink" Target="http://taxandaccounting.bna.com.unh-proxy01.newhaven.edu:2048/btac/display/link_res.adp?fedfid=23067410&amp;fname=usc_26_401_k_&amp;vname=tmwrnot" TargetMode="External"/><Relationship Id="rId91" Type="http://schemas.openxmlformats.org/officeDocument/2006/relationships/hyperlink" Target="javascript:top.docjs.next_hit(46)" TargetMode="External"/><Relationship Id="rId145" Type="http://schemas.openxmlformats.org/officeDocument/2006/relationships/hyperlink" Target="javascript:top.docjs.next_hit(73)" TargetMode="External"/><Relationship Id="rId166" Type="http://schemas.openxmlformats.org/officeDocument/2006/relationships/hyperlink" Target="javascript:top.docjs.prev_hit(84)" TargetMode="External"/><Relationship Id="rId187" Type="http://schemas.openxmlformats.org/officeDocument/2006/relationships/hyperlink" Target="javascript:top.docjs.prev_hit(93)" TargetMode="External"/><Relationship Id="rId1" Type="http://schemas.openxmlformats.org/officeDocument/2006/relationships/customXml" Target="../customXml/item1.xml"/><Relationship Id="rId212" Type="http://schemas.openxmlformats.org/officeDocument/2006/relationships/hyperlink" Target="javascript:top.docjs.next_hit(106)" TargetMode="External"/><Relationship Id="rId233" Type="http://schemas.openxmlformats.org/officeDocument/2006/relationships/hyperlink" Target="javascript:top.docjs.prev_hit(118)" TargetMode="External"/><Relationship Id="rId254" Type="http://schemas.openxmlformats.org/officeDocument/2006/relationships/hyperlink" Target="javascript:top.docjs.prev_hit(12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rio@greenhausriordan.com"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0E7E-2E9F-42FD-A7EC-FAC79B00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5102</Words>
  <Characters>29085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8</cp:revision>
  <dcterms:created xsi:type="dcterms:W3CDTF">2011-11-04T19:18:00Z</dcterms:created>
  <dcterms:modified xsi:type="dcterms:W3CDTF">2011-11-04T20:27:00Z</dcterms:modified>
</cp:coreProperties>
</file>